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0"/>
        <w:gridCol w:w="2304"/>
        <w:gridCol w:w="2303"/>
        <w:gridCol w:w="2588"/>
      </w:tblGrid>
      <w:tr w:rsidR="00D81C13" w:rsidTr="00113A28">
        <w:trPr>
          <w:jc w:val="center"/>
        </w:trPr>
        <w:tc>
          <w:tcPr>
            <w:tcW w:w="2870" w:type="dxa"/>
            <w:vAlign w:val="center"/>
            <w:hideMark/>
          </w:tcPr>
          <w:p w:rsidR="00D81C13" w:rsidRDefault="00D81C13" w:rsidP="00113A28">
            <w:pPr>
              <w:pStyle w:val="Stopka"/>
              <w:tabs>
                <w:tab w:val="left" w:pos="2055"/>
              </w:tabs>
              <w:snapToGrid w:val="0"/>
              <w:rPr>
                <w:rFonts w:ascii="Calibri" w:hAnsi="Calibri"/>
                <w:color w:val="FFFFFF"/>
              </w:rPr>
            </w:pPr>
            <w:bookmarkStart w:id="0" w:name="_GoBack"/>
            <w:bookmarkEnd w:id="0"/>
            <w:r>
              <w:rPr>
                <w:rFonts w:ascii="Calibri" w:hAnsi="Calibri"/>
                <w:noProof/>
                <w:color w:val="FFFFFF"/>
                <w:lang w:eastAsia="pl-PL"/>
              </w:rPr>
              <w:drawing>
                <wp:inline distT="0" distB="0" distL="0" distR="0" wp14:anchorId="029C0968" wp14:editId="37217D19">
                  <wp:extent cx="1257300" cy="59055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solidFill>
                            <a:srgbClr val="FFFFFF"/>
                          </a:solidFill>
                          <a:ln>
                            <a:noFill/>
                          </a:ln>
                        </pic:spPr>
                      </pic:pic>
                    </a:graphicData>
                  </a:graphic>
                </wp:inline>
              </w:drawing>
            </w:r>
          </w:p>
        </w:tc>
        <w:tc>
          <w:tcPr>
            <w:tcW w:w="2304" w:type="dxa"/>
            <w:hideMark/>
          </w:tcPr>
          <w:p w:rsidR="00D81C13" w:rsidRDefault="00D81C13" w:rsidP="00113A28">
            <w:pPr>
              <w:pStyle w:val="Stopka"/>
              <w:tabs>
                <w:tab w:val="left" w:pos="2055"/>
              </w:tabs>
              <w:snapToGrid w:val="0"/>
              <w:ind w:left="-426"/>
              <w:rPr>
                <w:rFonts w:ascii="Calibri" w:hAnsi="Calibri"/>
                <w:color w:val="FFFFFF"/>
              </w:rPr>
            </w:pPr>
            <w:r>
              <w:rPr>
                <w:rFonts w:ascii="Calibri" w:hAnsi="Calibri"/>
                <w:noProof/>
                <w:color w:val="FFFFFF"/>
                <w:lang w:eastAsia="pl-PL"/>
              </w:rPr>
              <w:drawing>
                <wp:inline distT="0" distB="0" distL="0" distR="0" wp14:anchorId="1AC90945" wp14:editId="2D7556BD">
                  <wp:extent cx="1495425" cy="542925"/>
                  <wp:effectExtent l="0" t="0" r="0" b="0"/>
                  <wp:docPr id="8" name="Obraz 8" descr="Logo-Małopolska-szraf-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Małopolska-szraf-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5425" cy="542925"/>
                          </a:xfrm>
                          <a:prstGeom prst="rect">
                            <a:avLst/>
                          </a:prstGeom>
                          <a:noFill/>
                          <a:ln>
                            <a:noFill/>
                          </a:ln>
                        </pic:spPr>
                      </pic:pic>
                    </a:graphicData>
                  </a:graphic>
                </wp:inline>
              </w:drawing>
            </w:r>
          </w:p>
        </w:tc>
        <w:tc>
          <w:tcPr>
            <w:tcW w:w="2303" w:type="dxa"/>
            <w:vAlign w:val="center"/>
            <w:hideMark/>
          </w:tcPr>
          <w:p w:rsidR="00D81C13" w:rsidRDefault="00D81C13" w:rsidP="00113A28">
            <w:pPr>
              <w:pStyle w:val="Stopka"/>
              <w:tabs>
                <w:tab w:val="left" w:pos="2055"/>
              </w:tabs>
              <w:snapToGrid w:val="0"/>
              <w:ind w:left="-320"/>
              <w:jc w:val="center"/>
              <w:rPr>
                <w:rFonts w:ascii="Calibri" w:hAnsi="Calibri"/>
                <w:color w:val="FFFFFF"/>
              </w:rPr>
            </w:pPr>
            <w:r>
              <w:rPr>
                <w:rFonts w:ascii="Calibri" w:hAnsi="Calibri"/>
                <w:b/>
                <w:noProof/>
                <w:color w:val="FFFFFF"/>
                <w:lang w:eastAsia="pl-PL"/>
              </w:rPr>
              <w:drawing>
                <wp:inline distT="0" distB="0" distL="0" distR="0" wp14:anchorId="098D4CC2" wp14:editId="0CC65585">
                  <wp:extent cx="819150" cy="276225"/>
                  <wp:effectExtent l="0" t="0" r="0" b="952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150" cy="276225"/>
                          </a:xfrm>
                          <a:prstGeom prst="rect">
                            <a:avLst/>
                          </a:prstGeom>
                          <a:noFill/>
                          <a:ln>
                            <a:noFill/>
                          </a:ln>
                        </pic:spPr>
                      </pic:pic>
                    </a:graphicData>
                  </a:graphic>
                </wp:inline>
              </w:drawing>
            </w:r>
          </w:p>
        </w:tc>
        <w:tc>
          <w:tcPr>
            <w:tcW w:w="2588" w:type="dxa"/>
            <w:vAlign w:val="center"/>
            <w:hideMark/>
          </w:tcPr>
          <w:p w:rsidR="00D81C13" w:rsidRDefault="00D81C13" w:rsidP="00113A28">
            <w:pPr>
              <w:pStyle w:val="Stopka"/>
              <w:tabs>
                <w:tab w:val="left" w:pos="2055"/>
              </w:tabs>
              <w:snapToGrid w:val="0"/>
              <w:jc w:val="center"/>
              <w:rPr>
                <w:rFonts w:ascii="Calibri" w:hAnsi="Calibri"/>
                <w:color w:val="FFFFFF"/>
              </w:rPr>
            </w:pPr>
            <w:r>
              <w:rPr>
                <w:rFonts w:ascii="Calibri" w:hAnsi="Calibri"/>
                <w:b/>
                <w:noProof/>
                <w:color w:val="FFFFFF"/>
                <w:lang w:eastAsia="pl-PL"/>
              </w:rPr>
              <w:drawing>
                <wp:inline distT="0" distB="0" distL="0" distR="0" wp14:anchorId="2FCB74C8" wp14:editId="2B4BEF9A">
                  <wp:extent cx="1524000" cy="447675"/>
                  <wp:effectExtent l="0" t="0" r="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0" cy="447675"/>
                          </a:xfrm>
                          <a:prstGeom prst="rect">
                            <a:avLst/>
                          </a:prstGeom>
                          <a:solidFill>
                            <a:srgbClr val="FFFFFF"/>
                          </a:solidFill>
                          <a:ln>
                            <a:noFill/>
                          </a:ln>
                        </pic:spPr>
                      </pic:pic>
                    </a:graphicData>
                  </a:graphic>
                </wp:inline>
              </w:drawing>
            </w:r>
          </w:p>
        </w:tc>
      </w:tr>
    </w:tbl>
    <w:p w:rsidR="000A6D44" w:rsidRDefault="000A6D44">
      <w:pPr>
        <w:rPr>
          <w:b/>
          <w:sz w:val="24"/>
          <w:szCs w:val="24"/>
        </w:rPr>
      </w:pPr>
    </w:p>
    <w:p w:rsidR="00C04C5C" w:rsidRPr="00ED723A" w:rsidRDefault="007B198D" w:rsidP="000A6D44">
      <w:pPr>
        <w:jc w:val="center"/>
        <w:rPr>
          <w:rFonts w:ascii="Times New Roman" w:hAnsi="Times New Roman" w:cs="Times New Roman"/>
          <w:b/>
          <w:sz w:val="28"/>
          <w:szCs w:val="24"/>
        </w:rPr>
      </w:pPr>
      <w:r w:rsidRPr="00ED723A">
        <w:rPr>
          <w:rFonts w:ascii="Times New Roman" w:hAnsi="Times New Roman" w:cs="Times New Roman"/>
          <w:b/>
          <w:sz w:val="28"/>
          <w:szCs w:val="24"/>
        </w:rPr>
        <w:t xml:space="preserve">Rekomendacje i </w:t>
      </w:r>
      <w:r w:rsidR="000A6D44" w:rsidRPr="00ED723A">
        <w:rPr>
          <w:rFonts w:ascii="Times New Roman" w:hAnsi="Times New Roman" w:cs="Times New Roman"/>
          <w:b/>
          <w:sz w:val="28"/>
          <w:szCs w:val="24"/>
        </w:rPr>
        <w:t>zalecenia dotyczące realizacji usług w ramach Mobilnego Centrum Pomocy Dla Osób Starszych</w:t>
      </w:r>
    </w:p>
    <w:p w:rsidR="00884B4C" w:rsidRPr="00ED723A" w:rsidRDefault="00884B4C" w:rsidP="00884B4C">
      <w:pPr>
        <w:pStyle w:val="Akapitzlist"/>
        <w:rPr>
          <w:rFonts w:ascii="Times New Roman" w:hAnsi="Times New Roman" w:cs="Times New Roman"/>
          <w:b/>
          <w:sz w:val="24"/>
          <w:szCs w:val="24"/>
        </w:rPr>
      </w:pPr>
    </w:p>
    <w:p w:rsidR="004665AB" w:rsidRDefault="004665AB" w:rsidP="00884B4C">
      <w:pPr>
        <w:ind w:firstLine="360"/>
        <w:rPr>
          <w:rFonts w:ascii="Times New Roman" w:hAnsi="Times New Roman" w:cs="Times New Roman"/>
        </w:rPr>
      </w:pPr>
      <w:r w:rsidRPr="00ED723A">
        <w:rPr>
          <w:rFonts w:ascii="Times New Roman" w:hAnsi="Times New Roman" w:cs="Times New Roman"/>
        </w:rPr>
        <w:t>W toku realizacji zadania Innowacja Społeczna „Mobilne Centrum Pomocy Dla Osób Starszych”</w:t>
      </w:r>
      <w:r w:rsidR="00884B4C" w:rsidRPr="00ED723A">
        <w:rPr>
          <w:rFonts w:ascii="Times New Roman" w:hAnsi="Times New Roman" w:cs="Times New Roman"/>
        </w:rPr>
        <w:t xml:space="preserve"> pojawiły się wnioski i uwagi, które nie były przewidziane początkowej wersji Innowacji naszego pomysłu. Poniżej przedstawiamy zestawienie wszystkich uwag i zaleceń uszeregowanych </w:t>
      </w:r>
      <w:r w:rsidR="001C457C" w:rsidRPr="00ED723A">
        <w:rPr>
          <w:rFonts w:ascii="Times New Roman" w:hAnsi="Times New Roman" w:cs="Times New Roman"/>
        </w:rPr>
        <w:t xml:space="preserve"> z podziałem na obszary. Dla przejrzystości i czytelności uwagi, zalecenia i rekomendacje zostały przedstawione w formie tabeli.</w:t>
      </w:r>
      <w:r w:rsidR="00884B4C" w:rsidRPr="00ED723A">
        <w:rPr>
          <w:rFonts w:ascii="Times New Roman" w:hAnsi="Times New Roman" w:cs="Times New Roman"/>
        </w:rPr>
        <w:t xml:space="preserve"> </w:t>
      </w:r>
    </w:p>
    <w:p w:rsidR="00D81C13" w:rsidRPr="00ED723A" w:rsidRDefault="00D81C13" w:rsidP="00884B4C">
      <w:pPr>
        <w:ind w:firstLine="360"/>
        <w:rPr>
          <w:rFonts w:ascii="Times New Roman" w:hAnsi="Times New Roman" w:cs="Times New Roman"/>
        </w:rPr>
      </w:pPr>
    </w:p>
    <w:tbl>
      <w:tblPr>
        <w:tblStyle w:val="Tabela-Siatka"/>
        <w:tblW w:w="0" w:type="auto"/>
        <w:tblLook w:val="04A0" w:firstRow="1" w:lastRow="0" w:firstColumn="1" w:lastColumn="0" w:noHBand="0" w:noVBand="1"/>
      </w:tblPr>
      <w:tblGrid>
        <w:gridCol w:w="846"/>
        <w:gridCol w:w="2835"/>
        <w:gridCol w:w="5386"/>
        <w:gridCol w:w="4927"/>
      </w:tblGrid>
      <w:tr w:rsidR="001C457C" w:rsidRPr="00ED723A" w:rsidTr="00F47FF1">
        <w:tc>
          <w:tcPr>
            <w:tcW w:w="13994" w:type="dxa"/>
            <w:gridSpan w:val="4"/>
          </w:tcPr>
          <w:p w:rsidR="001C457C" w:rsidRPr="00ED723A" w:rsidRDefault="001C457C" w:rsidP="002615DF">
            <w:pPr>
              <w:pStyle w:val="Akapitzlist"/>
              <w:numPr>
                <w:ilvl w:val="0"/>
                <w:numId w:val="3"/>
              </w:numPr>
              <w:jc w:val="center"/>
              <w:rPr>
                <w:rFonts w:ascii="Times New Roman" w:hAnsi="Times New Roman" w:cs="Times New Roman"/>
                <w:b/>
                <w:sz w:val="28"/>
                <w:szCs w:val="28"/>
              </w:rPr>
            </w:pPr>
            <w:r w:rsidRPr="00ED723A">
              <w:rPr>
                <w:rFonts w:ascii="Times New Roman" w:hAnsi="Times New Roman" w:cs="Times New Roman"/>
                <w:b/>
                <w:sz w:val="28"/>
                <w:szCs w:val="28"/>
              </w:rPr>
              <w:t>Obszar rekomendacji: Udzielone wsparcie</w:t>
            </w:r>
          </w:p>
        </w:tc>
      </w:tr>
      <w:tr w:rsidR="00CB5510" w:rsidRPr="00ED723A" w:rsidTr="00075D27">
        <w:tc>
          <w:tcPr>
            <w:tcW w:w="846" w:type="dxa"/>
          </w:tcPr>
          <w:p w:rsidR="001C457C" w:rsidRPr="00ED723A" w:rsidRDefault="001C457C" w:rsidP="005A4283">
            <w:pPr>
              <w:jc w:val="center"/>
              <w:rPr>
                <w:rFonts w:ascii="Times New Roman" w:hAnsi="Times New Roman" w:cs="Times New Roman"/>
                <w:b/>
                <w:sz w:val="24"/>
                <w:szCs w:val="24"/>
              </w:rPr>
            </w:pPr>
            <w:r w:rsidRPr="00ED723A">
              <w:rPr>
                <w:rFonts w:ascii="Times New Roman" w:hAnsi="Times New Roman" w:cs="Times New Roman"/>
                <w:b/>
                <w:sz w:val="24"/>
                <w:szCs w:val="24"/>
              </w:rPr>
              <w:t>l.p.</w:t>
            </w:r>
          </w:p>
        </w:tc>
        <w:tc>
          <w:tcPr>
            <w:tcW w:w="2835" w:type="dxa"/>
          </w:tcPr>
          <w:p w:rsidR="001C457C" w:rsidRPr="00ED723A" w:rsidRDefault="006F29B6" w:rsidP="005A4283">
            <w:pPr>
              <w:jc w:val="center"/>
              <w:rPr>
                <w:rFonts w:ascii="Times New Roman" w:hAnsi="Times New Roman" w:cs="Times New Roman"/>
                <w:b/>
                <w:sz w:val="24"/>
                <w:szCs w:val="24"/>
              </w:rPr>
            </w:pPr>
            <w:r w:rsidRPr="00ED723A">
              <w:rPr>
                <w:rFonts w:ascii="Times New Roman" w:hAnsi="Times New Roman" w:cs="Times New Roman"/>
                <w:b/>
                <w:sz w:val="24"/>
                <w:szCs w:val="24"/>
              </w:rPr>
              <w:t>Zakres rekomendacji:</w:t>
            </w:r>
          </w:p>
        </w:tc>
        <w:tc>
          <w:tcPr>
            <w:tcW w:w="5386" w:type="dxa"/>
          </w:tcPr>
          <w:p w:rsidR="001C457C" w:rsidRPr="00ED723A" w:rsidRDefault="001C457C" w:rsidP="005A4283">
            <w:pPr>
              <w:jc w:val="center"/>
              <w:rPr>
                <w:rFonts w:ascii="Times New Roman" w:hAnsi="Times New Roman" w:cs="Times New Roman"/>
                <w:b/>
                <w:sz w:val="24"/>
                <w:szCs w:val="24"/>
              </w:rPr>
            </w:pPr>
            <w:r w:rsidRPr="00ED723A">
              <w:rPr>
                <w:rFonts w:ascii="Times New Roman" w:hAnsi="Times New Roman" w:cs="Times New Roman"/>
                <w:b/>
                <w:sz w:val="24"/>
                <w:szCs w:val="24"/>
              </w:rPr>
              <w:t xml:space="preserve">Wnioski </w:t>
            </w:r>
            <w:r w:rsidR="006F29B6" w:rsidRPr="00ED723A">
              <w:rPr>
                <w:rFonts w:ascii="Times New Roman" w:hAnsi="Times New Roman" w:cs="Times New Roman"/>
                <w:b/>
                <w:sz w:val="24"/>
                <w:szCs w:val="24"/>
              </w:rPr>
              <w:t>:</w:t>
            </w:r>
          </w:p>
        </w:tc>
        <w:tc>
          <w:tcPr>
            <w:tcW w:w="4927" w:type="dxa"/>
          </w:tcPr>
          <w:p w:rsidR="001C457C" w:rsidRPr="00ED723A" w:rsidRDefault="001C457C" w:rsidP="005A4283">
            <w:pPr>
              <w:jc w:val="center"/>
              <w:rPr>
                <w:rFonts w:ascii="Times New Roman" w:hAnsi="Times New Roman" w:cs="Times New Roman"/>
                <w:b/>
                <w:sz w:val="24"/>
                <w:szCs w:val="24"/>
              </w:rPr>
            </w:pPr>
            <w:r w:rsidRPr="00ED723A">
              <w:rPr>
                <w:rFonts w:ascii="Times New Roman" w:hAnsi="Times New Roman" w:cs="Times New Roman"/>
                <w:b/>
                <w:sz w:val="24"/>
                <w:szCs w:val="24"/>
              </w:rPr>
              <w:t xml:space="preserve">Rekomendacje </w:t>
            </w:r>
            <w:r w:rsidR="006F29B6" w:rsidRPr="00ED723A">
              <w:rPr>
                <w:rFonts w:ascii="Times New Roman" w:hAnsi="Times New Roman" w:cs="Times New Roman"/>
                <w:b/>
                <w:sz w:val="24"/>
                <w:szCs w:val="24"/>
              </w:rPr>
              <w:t>:</w:t>
            </w:r>
          </w:p>
        </w:tc>
      </w:tr>
      <w:tr w:rsidR="00CF49C1" w:rsidRPr="00ED723A" w:rsidTr="00E94FF3">
        <w:tc>
          <w:tcPr>
            <w:tcW w:w="13994" w:type="dxa"/>
            <w:gridSpan w:val="4"/>
          </w:tcPr>
          <w:p w:rsidR="00CF49C1" w:rsidRDefault="00CF49C1" w:rsidP="00CF49C1">
            <w:pPr>
              <w:jc w:val="center"/>
              <w:rPr>
                <w:rFonts w:ascii="Times New Roman" w:hAnsi="Times New Roman" w:cs="Times New Roman"/>
                <w:b/>
                <w:sz w:val="24"/>
                <w:szCs w:val="24"/>
              </w:rPr>
            </w:pPr>
            <w:r w:rsidRPr="00ED723A">
              <w:rPr>
                <w:rFonts w:ascii="Times New Roman" w:hAnsi="Times New Roman" w:cs="Times New Roman"/>
                <w:b/>
                <w:sz w:val="24"/>
                <w:szCs w:val="24"/>
              </w:rPr>
              <w:t>Coaching</w:t>
            </w:r>
          </w:p>
          <w:p w:rsidR="006332BC" w:rsidRPr="00ED723A" w:rsidRDefault="006332BC" w:rsidP="00CF49C1">
            <w:pPr>
              <w:jc w:val="center"/>
              <w:rPr>
                <w:rFonts w:ascii="Times New Roman" w:hAnsi="Times New Roman" w:cs="Times New Roman"/>
                <w:b/>
                <w:sz w:val="24"/>
                <w:szCs w:val="24"/>
              </w:rPr>
            </w:pPr>
          </w:p>
        </w:tc>
      </w:tr>
      <w:tr w:rsidR="00CB5510" w:rsidRPr="00ED723A" w:rsidTr="00075D27">
        <w:tc>
          <w:tcPr>
            <w:tcW w:w="846" w:type="dxa"/>
          </w:tcPr>
          <w:p w:rsidR="001C457C" w:rsidRPr="00ED723A" w:rsidRDefault="001C457C" w:rsidP="00CF49C1">
            <w:pPr>
              <w:pStyle w:val="Akapitzlist"/>
              <w:numPr>
                <w:ilvl w:val="0"/>
                <w:numId w:val="12"/>
              </w:numPr>
              <w:jc w:val="both"/>
              <w:rPr>
                <w:rFonts w:ascii="Times New Roman" w:hAnsi="Times New Roman" w:cs="Times New Roman"/>
              </w:rPr>
            </w:pPr>
          </w:p>
        </w:tc>
        <w:tc>
          <w:tcPr>
            <w:tcW w:w="2835" w:type="dxa"/>
          </w:tcPr>
          <w:p w:rsidR="001C457C" w:rsidRPr="00ED723A" w:rsidRDefault="001C457C" w:rsidP="00A35E88">
            <w:pPr>
              <w:jc w:val="both"/>
              <w:rPr>
                <w:rFonts w:ascii="Times New Roman" w:hAnsi="Times New Roman" w:cs="Times New Roman"/>
              </w:rPr>
            </w:pPr>
            <w:r w:rsidRPr="00ED723A">
              <w:rPr>
                <w:rFonts w:ascii="Times New Roman" w:hAnsi="Times New Roman" w:cs="Times New Roman"/>
              </w:rPr>
              <w:t>Tematy</w:t>
            </w:r>
            <w:r w:rsidR="00A35E88">
              <w:rPr>
                <w:rFonts w:ascii="Times New Roman" w:hAnsi="Times New Roman" w:cs="Times New Roman"/>
              </w:rPr>
              <w:t>ka</w:t>
            </w:r>
            <w:r w:rsidRPr="00ED723A">
              <w:rPr>
                <w:rFonts w:ascii="Times New Roman" w:hAnsi="Times New Roman" w:cs="Times New Roman"/>
              </w:rPr>
              <w:t xml:space="preserve"> spotkań z uczestnikami </w:t>
            </w:r>
          </w:p>
        </w:tc>
        <w:tc>
          <w:tcPr>
            <w:tcW w:w="5386" w:type="dxa"/>
          </w:tcPr>
          <w:p w:rsidR="001C457C" w:rsidRPr="00ED723A" w:rsidRDefault="001C457C" w:rsidP="001C457C">
            <w:pPr>
              <w:jc w:val="both"/>
              <w:rPr>
                <w:rFonts w:ascii="Times New Roman" w:hAnsi="Times New Roman" w:cs="Times New Roman"/>
              </w:rPr>
            </w:pPr>
            <w:r w:rsidRPr="00ED723A">
              <w:rPr>
                <w:rFonts w:ascii="Times New Roman" w:hAnsi="Times New Roman" w:cs="Times New Roman"/>
              </w:rPr>
              <w:t>Coaching jest nową innowacyjną metodą pracy, dlatego też nieznaną</w:t>
            </w:r>
            <w:r w:rsidR="00A506C5" w:rsidRPr="00ED723A">
              <w:rPr>
                <w:rFonts w:ascii="Times New Roman" w:hAnsi="Times New Roman" w:cs="Times New Roman"/>
              </w:rPr>
              <w:t xml:space="preserve"> i nierozumianą</w:t>
            </w:r>
            <w:r w:rsidRPr="00ED723A">
              <w:rPr>
                <w:rFonts w:ascii="Times New Roman" w:hAnsi="Times New Roman" w:cs="Times New Roman"/>
              </w:rPr>
              <w:t xml:space="preserve">, aby uzyskać oczekiwany efekt, należało </w:t>
            </w:r>
            <w:r w:rsidR="00A506C5" w:rsidRPr="00ED723A">
              <w:rPr>
                <w:rFonts w:ascii="Times New Roman" w:hAnsi="Times New Roman" w:cs="Times New Roman"/>
              </w:rPr>
              <w:t xml:space="preserve">w początkowej fazie testowania innowacji </w:t>
            </w:r>
            <w:r w:rsidRPr="00ED723A">
              <w:rPr>
                <w:rFonts w:ascii="Times New Roman" w:hAnsi="Times New Roman" w:cs="Times New Roman"/>
              </w:rPr>
              <w:t>podpowiadać ewentualne tematy spotkań</w:t>
            </w:r>
            <w:r w:rsidR="00A506C5" w:rsidRPr="00ED723A">
              <w:rPr>
                <w:rFonts w:ascii="Times New Roman" w:hAnsi="Times New Roman" w:cs="Times New Roman"/>
              </w:rPr>
              <w:t xml:space="preserve">. </w:t>
            </w:r>
            <w:r w:rsidR="00CF49C1" w:rsidRPr="00ED723A">
              <w:rPr>
                <w:rFonts w:ascii="Times New Roman" w:hAnsi="Times New Roman" w:cs="Times New Roman"/>
              </w:rPr>
              <w:t>Tematy poruszane podczas spotkań z uczestnikami na początku realizacji usługi powinny być sugerowane z czasem powinny wynikać z indywidualnych potrzeb uczestników</w:t>
            </w:r>
            <w:r w:rsidR="00A35E88">
              <w:rPr>
                <w:rFonts w:ascii="Times New Roman" w:hAnsi="Times New Roman" w:cs="Times New Roman"/>
              </w:rPr>
              <w:t>.</w:t>
            </w:r>
          </w:p>
        </w:tc>
        <w:tc>
          <w:tcPr>
            <w:tcW w:w="4927" w:type="dxa"/>
          </w:tcPr>
          <w:p w:rsidR="001C457C" w:rsidRPr="00ED723A" w:rsidRDefault="00A506C5" w:rsidP="00DA1526">
            <w:pPr>
              <w:jc w:val="both"/>
              <w:rPr>
                <w:rFonts w:ascii="Times New Roman" w:hAnsi="Times New Roman" w:cs="Times New Roman"/>
              </w:rPr>
            </w:pPr>
            <w:r w:rsidRPr="00ED723A">
              <w:rPr>
                <w:rFonts w:ascii="Times New Roman" w:hAnsi="Times New Roman" w:cs="Times New Roman"/>
              </w:rPr>
              <w:t>Wskazane jest wcześniejsze przygotowanie tematów spotkań, które poruszać będą tematy uniwersalne. Przykładowe tematy: motywacja</w:t>
            </w:r>
            <w:r w:rsidR="00AD77CD" w:rsidRPr="00ED723A">
              <w:rPr>
                <w:rFonts w:ascii="Times New Roman" w:hAnsi="Times New Roman" w:cs="Times New Roman"/>
              </w:rPr>
              <w:t xml:space="preserve"> i czynniki motywujące;</w:t>
            </w:r>
            <w:r w:rsidR="00DA1526" w:rsidRPr="00ED723A">
              <w:rPr>
                <w:rFonts w:ascii="Times New Roman" w:hAnsi="Times New Roman" w:cs="Times New Roman"/>
              </w:rPr>
              <w:t xml:space="preserve"> </w:t>
            </w:r>
            <w:r w:rsidR="00AD77CD" w:rsidRPr="00ED723A">
              <w:rPr>
                <w:rFonts w:ascii="Times New Roman" w:hAnsi="Times New Roman" w:cs="Times New Roman"/>
              </w:rPr>
              <w:t xml:space="preserve">inspiracja, wiem co mnie inspiruje do działania; </w:t>
            </w:r>
            <w:r w:rsidRPr="00ED723A">
              <w:rPr>
                <w:rFonts w:ascii="Times New Roman" w:hAnsi="Times New Roman" w:cs="Times New Roman"/>
              </w:rPr>
              <w:t xml:space="preserve"> </w:t>
            </w:r>
            <w:r w:rsidR="00AD77CD" w:rsidRPr="00ED723A">
              <w:rPr>
                <w:rFonts w:ascii="Times New Roman" w:hAnsi="Times New Roman" w:cs="Times New Roman"/>
              </w:rPr>
              <w:t>Potrzeby, cele, marzenia; preferowana rola w grupie; nawiązywanie kontaktów  towarzyskich; wzajemne relacje w rodzinie; relacje międzyludzkie itp.</w:t>
            </w:r>
          </w:p>
        </w:tc>
      </w:tr>
      <w:tr w:rsidR="00CB5510" w:rsidRPr="00ED723A" w:rsidTr="00075D27">
        <w:tc>
          <w:tcPr>
            <w:tcW w:w="846" w:type="dxa"/>
          </w:tcPr>
          <w:p w:rsidR="001C457C" w:rsidRPr="00ED723A" w:rsidRDefault="001C457C" w:rsidP="00CF49C1">
            <w:pPr>
              <w:pStyle w:val="Akapitzlist"/>
              <w:numPr>
                <w:ilvl w:val="0"/>
                <w:numId w:val="12"/>
              </w:numPr>
              <w:jc w:val="both"/>
              <w:rPr>
                <w:rFonts w:ascii="Times New Roman" w:hAnsi="Times New Roman" w:cs="Times New Roman"/>
              </w:rPr>
            </w:pPr>
          </w:p>
        </w:tc>
        <w:tc>
          <w:tcPr>
            <w:tcW w:w="2835" w:type="dxa"/>
          </w:tcPr>
          <w:p w:rsidR="001C457C" w:rsidRPr="00ED723A" w:rsidRDefault="007B1F18" w:rsidP="007B1F18">
            <w:pPr>
              <w:jc w:val="both"/>
              <w:rPr>
                <w:rFonts w:ascii="Times New Roman" w:hAnsi="Times New Roman" w:cs="Times New Roman"/>
              </w:rPr>
            </w:pPr>
            <w:r>
              <w:rPr>
                <w:rFonts w:ascii="Times New Roman" w:hAnsi="Times New Roman" w:cs="Times New Roman"/>
              </w:rPr>
              <w:t>P</w:t>
            </w:r>
            <w:r w:rsidR="00CF49C1" w:rsidRPr="00ED723A">
              <w:rPr>
                <w:rFonts w:ascii="Times New Roman" w:hAnsi="Times New Roman" w:cs="Times New Roman"/>
              </w:rPr>
              <w:t xml:space="preserve">rywatności i </w:t>
            </w:r>
            <w:r>
              <w:rPr>
                <w:rFonts w:ascii="Times New Roman" w:hAnsi="Times New Roman" w:cs="Times New Roman"/>
              </w:rPr>
              <w:t xml:space="preserve">prawo do intymności uczestnika </w:t>
            </w:r>
          </w:p>
        </w:tc>
        <w:tc>
          <w:tcPr>
            <w:tcW w:w="5386" w:type="dxa"/>
          </w:tcPr>
          <w:p w:rsidR="001C457C" w:rsidRPr="00ED723A" w:rsidRDefault="00AD77CD" w:rsidP="00A35E88">
            <w:pPr>
              <w:jc w:val="both"/>
              <w:rPr>
                <w:rFonts w:ascii="Times New Roman" w:hAnsi="Times New Roman" w:cs="Times New Roman"/>
              </w:rPr>
            </w:pPr>
            <w:r w:rsidRPr="00ED723A">
              <w:rPr>
                <w:rFonts w:ascii="Times New Roman" w:hAnsi="Times New Roman" w:cs="Times New Roman"/>
              </w:rPr>
              <w:t>Coaching wymaga od uczestnika dużego wkładu swoich emocji, indywidualności i osobistego zaangażowania. Wymaga również otworzenia i po</w:t>
            </w:r>
            <w:r w:rsidR="00F758CC" w:rsidRPr="00ED723A">
              <w:rPr>
                <w:rFonts w:ascii="Times New Roman" w:hAnsi="Times New Roman" w:cs="Times New Roman"/>
              </w:rPr>
              <w:t>kazania prawdziwego ja. Bardzo trudno jest pracować i osiągnąć sukces bez pełnego zaangażowania uczestnika i Coacha.</w:t>
            </w:r>
            <w:r w:rsidR="00CF49C1" w:rsidRPr="00ED723A">
              <w:rPr>
                <w:rFonts w:ascii="Times New Roman" w:hAnsi="Times New Roman" w:cs="Times New Roman"/>
              </w:rPr>
              <w:t xml:space="preserve"> Z racji poruszanych tematów, które niejednokrotnie były osobiste, intymne i niejednokrotnie traumatyczne Coach powinien być osobą </w:t>
            </w:r>
            <w:r w:rsidR="00A35E88">
              <w:rPr>
                <w:rFonts w:ascii="Times New Roman" w:hAnsi="Times New Roman" w:cs="Times New Roman"/>
              </w:rPr>
              <w:lastRenderedPageBreak/>
              <w:t xml:space="preserve">empatyczną, wrażliwą na zachowanie prywatności i intymności uczestnika. </w:t>
            </w:r>
          </w:p>
        </w:tc>
        <w:tc>
          <w:tcPr>
            <w:tcW w:w="4927" w:type="dxa"/>
          </w:tcPr>
          <w:p w:rsidR="001C457C" w:rsidRPr="00ED723A" w:rsidRDefault="00F758CC" w:rsidP="00CF49C1">
            <w:pPr>
              <w:jc w:val="both"/>
              <w:rPr>
                <w:rFonts w:ascii="Times New Roman" w:hAnsi="Times New Roman" w:cs="Times New Roman"/>
              </w:rPr>
            </w:pPr>
            <w:r w:rsidRPr="00ED723A">
              <w:rPr>
                <w:rFonts w:ascii="Times New Roman" w:hAnsi="Times New Roman" w:cs="Times New Roman"/>
              </w:rPr>
              <w:lastRenderedPageBreak/>
              <w:t>Rekomendujemy aby wsparcie Coaching prowadzone było przez osobę zewnątrz danego środowiska i najlepiej wcześniej nieznaną uczestnikowi. Działanie takie w znacznym stopniu wpłynie na</w:t>
            </w:r>
            <w:r w:rsidR="00CF49C1" w:rsidRPr="00ED723A">
              <w:rPr>
                <w:rFonts w:ascii="Times New Roman" w:hAnsi="Times New Roman" w:cs="Times New Roman"/>
              </w:rPr>
              <w:t xml:space="preserve"> jakość wykonywanej pracy przy równoczesnym zachowaniu intymności i prywatności uczestnika.</w:t>
            </w:r>
            <w:r w:rsidR="00A35E88">
              <w:rPr>
                <w:rFonts w:ascii="Times New Roman" w:hAnsi="Times New Roman" w:cs="Times New Roman"/>
              </w:rPr>
              <w:t xml:space="preserve"> Dodatkowo osoba na stanowisku Coacha powinna wykazać się </w:t>
            </w:r>
            <w:r w:rsidR="00A35E88">
              <w:rPr>
                <w:rFonts w:ascii="Times New Roman" w:hAnsi="Times New Roman" w:cs="Times New Roman"/>
              </w:rPr>
              <w:lastRenderedPageBreak/>
              <w:t>odpowiednim wykształceniem i doświadczeniem z osobami starszymi i niepełnosprawnymi.</w:t>
            </w:r>
          </w:p>
        </w:tc>
      </w:tr>
      <w:tr w:rsidR="00CB5510" w:rsidRPr="00ED723A" w:rsidTr="00075D27">
        <w:tc>
          <w:tcPr>
            <w:tcW w:w="846" w:type="dxa"/>
          </w:tcPr>
          <w:p w:rsidR="00017475" w:rsidRPr="00ED723A" w:rsidRDefault="00017475" w:rsidP="00CF49C1">
            <w:pPr>
              <w:pStyle w:val="Akapitzlist"/>
              <w:numPr>
                <w:ilvl w:val="0"/>
                <w:numId w:val="12"/>
              </w:numPr>
              <w:jc w:val="both"/>
              <w:rPr>
                <w:rFonts w:ascii="Times New Roman" w:hAnsi="Times New Roman" w:cs="Times New Roman"/>
              </w:rPr>
            </w:pPr>
          </w:p>
        </w:tc>
        <w:tc>
          <w:tcPr>
            <w:tcW w:w="2835" w:type="dxa"/>
          </w:tcPr>
          <w:p w:rsidR="00017475" w:rsidRPr="00ED723A" w:rsidRDefault="00CF49C1" w:rsidP="00CF49C1">
            <w:pPr>
              <w:jc w:val="both"/>
              <w:rPr>
                <w:rFonts w:ascii="Times New Roman" w:hAnsi="Times New Roman" w:cs="Times New Roman"/>
              </w:rPr>
            </w:pPr>
            <w:r w:rsidRPr="00ED723A">
              <w:rPr>
                <w:rFonts w:ascii="Times New Roman" w:hAnsi="Times New Roman" w:cs="Times New Roman"/>
              </w:rPr>
              <w:t>Pozytywny charakter spotkań</w:t>
            </w:r>
          </w:p>
        </w:tc>
        <w:tc>
          <w:tcPr>
            <w:tcW w:w="5386" w:type="dxa"/>
          </w:tcPr>
          <w:p w:rsidR="00017475" w:rsidRPr="00ED723A" w:rsidRDefault="006F29B6" w:rsidP="006F3A7C">
            <w:pPr>
              <w:jc w:val="both"/>
              <w:rPr>
                <w:rFonts w:ascii="Times New Roman" w:hAnsi="Times New Roman" w:cs="Times New Roman"/>
              </w:rPr>
            </w:pPr>
            <w:r w:rsidRPr="00ED723A">
              <w:rPr>
                <w:rFonts w:ascii="Times New Roman" w:hAnsi="Times New Roman" w:cs="Times New Roman"/>
              </w:rPr>
              <w:t xml:space="preserve">Jedną z fundamentalnych zasad Coachingu jest jego pozytywny wymiar. </w:t>
            </w:r>
            <w:r w:rsidR="006F3A7C" w:rsidRPr="00ED723A">
              <w:rPr>
                <w:rFonts w:ascii="Times New Roman" w:hAnsi="Times New Roman" w:cs="Times New Roman"/>
              </w:rPr>
              <w:t>W naszej Innowacji Społecznej za mało czasu mieliśmy aby uczestnicy w pełni mogli skorzystać z dobrodziejstw Coachingu, niemniej jednak większość z uczestników podczas spotkań z Coachem miała świadomość, iż warto rozmawiać i w każdej nawet najbardziej trudnej sytuacji można znaleźć coś pozytywnego.</w:t>
            </w:r>
          </w:p>
        </w:tc>
        <w:tc>
          <w:tcPr>
            <w:tcW w:w="4927" w:type="dxa"/>
          </w:tcPr>
          <w:p w:rsidR="00017475" w:rsidRPr="00ED723A" w:rsidRDefault="006F29B6" w:rsidP="00A35E88">
            <w:pPr>
              <w:rPr>
                <w:rFonts w:ascii="Times New Roman" w:hAnsi="Times New Roman" w:cs="Times New Roman"/>
              </w:rPr>
            </w:pPr>
            <w:r w:rsidRPr="00ED723A">
              <w:rPr>
                <w:rFonts w:ascii="Times New Roman" w:hAnsi="Times New Roman" w:cs="Times New Roman"/>
              </w:rPr>
              <w:t>Podczas spotkań z uczestnikiem Coach powinien być skoncentrowany i przygotowany na zmianę nastawienia u uczestnika. W przypadku negatywnego wydźwięku danego tematu lub przykrego doświadczenia</w:t>
            </w:r>
            <w:r w:rsidR="00A35E88">
              <w:rPr>
                <w:rFonts w:ascii="Times New Roman" w:hAnsi="Times New Roman" w:cs="Times New Roman"/>
              </w:rPr>
              <w:t>,</w:t>
            </w:r>
            <w:r w:rsidRPr="00ED723A">
              <w:rPr>
                <w:rFonts w:ascii="Times New Roman" w:hAnsi="Times New Roman" w:cs="Times New Roman"/>
              </w:rPr>
              <w:t xml:space="preserve"> Coach stara się panować nad rozmową w celu powrotu </w:t>
            </w:r>
            <w:r w:rsidR="00A35E88">
              <w:rPr>
                <w:rFonts w:ascii="Times New Roman" w:hAnsi="Times New Roman" w:cs="Times New Roman"/>
              </w:rPr>
              <w:t>do</w:t>
            </w:r>
            <w:r w:rsidRPr="00ED723A">
              <w:rPr>
                <w:rFonts w:ascii="Times New Roman" w:hAnsi="Times New Roman" w:cs="Times New Roman"/>
              </w:rPr>
              <w:t xml:space="preserve"> pozytywn</w:t>
            </w:r>
            <w:r w:rsidR="00A35E88">
              <w:rPr>
                <w:rFonts w:ascii="Times New Roman" w:hAnsi="Times New Roman" w:cs="Times New Roman"/>
              </w:rPr>
              <w:t xml:space="preserve">ego wymiaru spotkania. </w:t>
            </w:r>
          </w:p>
        </w:tc>
      </w:tr>
      <w:tr w:rsidR="00A35E88" w:rsidRPr="00ED723A" w:rsidTr="00075D27">
        <w:tc>
          <w:tcPr>
            <w:tcW w:w="846" w:type="dxa"/>
          </w:tcPr>
          <w:p w:rsidR="00A35E88" w:rsidRPr="00ED723A" w:rsidRDefault="00A35E88" w:rsidP="00CF49C1">
            <w:pPr>
              <w:pStyle w:val="Akapitzlist"/>
              <w:numPr>
                <w:ilvl w:val="0"/>
                <w:numId w:val="12"/>
              </w:numPr>
              <w:jc w:val="both"/>
              <w:rPr>
                <w:rFonts w:ascii="Times New Roman" w:hAnsi="Times New Roman" w:cs="Times New Roman"/>
              </w:rPr>
            </w:pPr>
          </w:p>
        </w:tc>
        <w:tc>
          <w:tcPr>
            <w:tcW w:w="2835" w:type="dxa"/>
          </w:tcPr>
          <w:p w:rsidR="00A35E88" w:rsidRPr="00ED723A" w:rsidRDefault="00A35E88" w:rsidP="00CF49C1">
            <w:pPr>
              <w:jc w:val="both"/>
              <w:rPr>
                <w:rFonts w:ascii="Times New Roman" w:hAnsi="Times New Roman" w:cs="Times New Roman"/>
              </w:rPr>
            </w:pPr>
            <w:r>
              <w:rPr>
                <w:rFonts w:ascii="Times New Roman" w:hAnsi="Times New Roman" w:cs="Times New Roman"/>
              </w:rPr>
              <w:t>Coaching czy Mentoring</w:t>
            </w:r>
          </w:p>
        </w:tc>
        <w:tc>
          <w:tcPr>
            <w:tcW w:w="5386" w:type="dxa"/>
          </w:tcPr>
          <w:p w:rsidR="00A35E88" w:rsidRPr="00ED723A" w:rsidRDefault="003D3E01" w:rsidP="0084488C">
            <w:pPr>
              <w:jc w:val="both"/>
              <w:rPr>
                <w:rFonts w:ascii="Times New Roman" w:hAnsi="Times New Roman" w:cs="Times New Roman"/>
              </w:rPr>
            </w:pPr>
            <w:r>
              <w:rPr>
                <w:rFonts w:ascii="Times New Roman" w:hAnsi="Times New Roman" w:cs="Times New Roman"/>
              </w:rPr>
              <w:t xml:space="preserve">Coaching jest wzajemną relacją pomiędzy Coachem a uczestnikiem, gdzie decyzyjność </w:t>
            </w:r>
            <w:r w:rsidR="00204846">
              <w:rPr>
                <w:rFonts w:ascii="Times New Roman" w:hAnsi="Times New Roman" w:cs="Times New Roman"/>
              </w:rPr>
              <w:t xml:space="preserve">i inicjatywa </w:t>
            </w:r>
            <w:r>
              <w:rPr>
                <w:rFonts w:ascii="Times New Roman" w:hAnsi="Times New Roman" w:cs="Times New Roman"/>
              </w:rPr>
              <w:t>zawsze jest po stronie uczestnika. Zaproponowana metoda - Coaching senioralny, jest metodą mogącą</w:t>
            </w:r>
            <w:r w:rsidRPr="003D3E01">
              <w:rPr>
                <w:rFonts w:ascii="Times New Roman" w:hAnsi="Times New Roman" w:cs="Times New Roman"/>
              </w:rPr>
              <w:t xml:space="preserve"> stanowić skuteczne narzędzie wspierania seniora, dotychczas nie posiadająca </w:t>
            </w:r>
            <w:r w:rsidR="00204846">
              <w:rPr>
                <w:rFonts w:ascii="Times New Roman" w:hAnsi="Times New Roman" w:cs="Times New Roman"/>
              </w:rPr>
              <w:t xml:space="preserve">jednak </w:t>
            </w:r>
            <w:r w:rsidRPr="003D3E01">
              <w:rPr>
                <w:rFonts w:ascii="Times New Roman" w:hAnsi="Times New Roman" w:cs="Times New Roman"/>
              </w:rPr>
              <w:t xml:space="preserve">modelu działań </w:t>
            </w:r>
            <w:r>
              <w:rPr>
                <w:rFonts w:ascii="Times New Roman" w:hAnsi="Times New Roman" w:cs="Times New Roman"/>
              </w:rPr>
              <w:t xml:space="preserve">w odniesieniu do osoby starszej. </w:t>
            </w:r>
            <w:r w:rsidR="00204846">
              <w:rPr>
                <w:rFonts w:ascii="Times New Roman" w:hAnsi="Times New Roman" w:cs="Times New Roman"/>
              </w:rPr>
              <w:t>Podczas naszej pracy bardzo często spotykaliśmy się z postawą ze strony seniora, gdzie decyzyjność i odpowiedzialność przenoszona była na Specjalistę. Metoda taka jest podobna do Mentoringu. Podczas spotkań z uczestnikami Specjalista starał się łączyć obie metody, tak aby było to z korzyścią dla seniora.</w:t>
            </w:r>
            <w:r w:rsidR="00A35E88">
              <w:rPr>
                <w:rFonts w:ascii="Times New Roman" w:hAnsi="Times New Roman" w:cs="Times New Roman"/>
              </w:rPr>
              <w:t xml:space="preserve"> </w:t>
            </w:r>
          </w:p>
        </w:tc>
        <w:tc>
          <w:tcPr>
            <w:tcW w:w="4927" w:type="dxa"/>
          </w:tcPr>
          <w:p w:rsidR="00A35E88" w:rsidRPr="00ED723A" w:rsidRDefault="009A35BF" w:rsidP="009A35BF">
            <w:pPr>
              <w:rPr>
                <w:rFonts w:ascii="Times New Roman" w:hAnsi="Times New Roman" w:cs="Times New Roman"/>
              </w:rPr>
            </w:pPr>
            <w:r>
              <w:rPr>
                <w:rFonts w:ascii="Times New Roman" w:hAnsi="Times New Roman" w:cs="Times New Roman"/>
              </w:rPr>
              <w:t>Podczas testowania bardzo często Coaching przekształcał się w Mentoring. Działania takie wynikały z kilku czynników (szczegółowy opis w końcowym modelu Koncepcji Innowacji Społecznej), niemniej jednak rekomendujemy aby zrobić założenie jaką metodą pracujemy. Możliwe jest też łączenie obu metod, takie działania mogą zależeć od preferencji i świadomości samego uczestnika lub też z umiejętności i doświadczenia Specjalisty</w:t>
            </w:r>
            <w:r w:rsidR="0084488C">
              <w:rPr>
                <w:rFonts w:ascii="Times New Roman" w:hAnsi="Times New Roman" w:cs="Times New Roman"/>
              </w:rPr>
              <w:t>. Niemniej jednak działania takie w wielu przypadkach mogą wyjść z korzyścią dla uczestnika.</w:t>
            </w:r>
          </w:p>
        </w:tc>
      </w:tr>
      <w:tr w:rsidR="00CB5510" w:rsidRPr="00ED723A" w:rsidTr="00075D27">
        <w:tc>
          <w:tcPr>
            <w:tcW w:w="846" w:type="dxa"/>
          </w:tcPr>
          <w:p w:rsidR="00002305" w:rsidRPr="00ED723A" w:rsidRDefault="00002305" w:rsidP="00CF49C1">
            <w:pPr>
              <w:pStyle w:val="Akapitzlist"/>
              <w:numPr>
                <w:ilvl w:val="0"/>
                <w:numId w:val="12"/>
              </w:numPr>
              <w:jc w:val="both"/>
              <w:rPr>
                <w:rFonts w:ascii="Times New Roman" w:hAnsi="Times New Roman" w:cs="Times New Roman"/>
              </w:rPr>
            </w:pPr>
          </w:p>
        </w:tc>
        <w:tc>
          <w:tcPr>
            <w:tcW w:w="2835" w:type="dxa"/>
          </w:tcPr>
          <w:p w:rsidR="00002305" w:rsidRPr="00ED723A" w:rsidRDefault="00483B7A" w:rsidP="001C457C">
            <w:pPr>
              <w:jc w:val="both"/>
              <w:rPr>
                <w:rFonts w:ascii="Times New Roman" w:hAnsi="Times New Roman" w:cs="Times New Roman"/>
              </w:rPr>
            </w:pPr>
            <w:r w:rsidRPr="00ED723A">
              <w:rPr>
                <w:rFonts w:ascii="Times New Roman" w:hAnsi="Times New Roman" w:cs="Times New Roman"/>
              </w:rPr>
              <w:t>Współpraca z pozostałymi specjalistami</w:t>
            </w:r>
          </w:p>
        </w:tc>
        <w:tc>
          <w:tcPr>
            <w:tcW w:w="5386" w:type="dxa"/>
          </w:tcPr>
          <w:p w:rsidR="00002305" w:rsidRPr="00ED723A" w:rsidRDefault="00483B7A" w:rsidP="001C457C">
            <w:pPr>
              <w:jc w:val="both"/>
              <w:rPr>
                <w:rFonts w:ascii="Times New Roman" w:hAnsi="Times New Roman" w:cs="Times New Roman"/>
              </w:rPr>
            </w:pPr>
            <w:r w:rsidRPr="00ED723A">
              <w:rPr>
                <w:rFonts w:ascii="Times New Roman" w:hAnsi="Times New Roman" w:cs="Times New Roman"/>
              </w:rPr>
              <w:t>Praca Coacha/Mentora jest wiodącą dziedziną w naszej IS, ma za zadanie zmienić trwale postawę uczestnika. Jednak bez współpracy z pozostałymi specjalistami nie jest możliwe odniesienie trwały</w:t>
            </w:r>
            <w:r w:rsidR="00204846">
              <w:rPr>
                <w:rFonts w:ascii="Times New Roman" w:hAnsi="Times New Roman" w:cs="Times New Roman"/>
              </w:rPr>
              <w:t>ch</w:t>
            </w:r>
            <w:r w:rsidRPr="00ED723A">
              <w:rPr>
                <w:rFonts w:ascii="Times New Roman" w:hAnsi="Times New Roman" w:cs="Times New Roman"/>
              </w:rPr>
              <w:t xml:space="preserve"> zmian w postawie.</w:t>
            </w:r>
          </w:p>
        </w:tc>
        <w:tc>
          <w:tcPr>
            <w:tcW w:w="4927" w:type="dxa"/>
          </w:tcPr>
          <w:p w:rsidR="00002305" w:rsidRPr="00ED723A" w:rsidRDefault="00483B7A" w:rsidP="00483B7A">
            <w:pPr>
              <w:jc w:val="both"/>
              <w:rPr>
                <w:rFonts w:ascii="Times New Roman" w:hAnsi="Times New Roman" w:cs="Times New Roman"/>
              </w:rPr>
            </w:pPr>
            <w:r w:rsidRPr="00ED723A">
              <w:rPr>
                <w:rFonts w:ascii="Times New Roman" w:hAnsi="Times New Roman" w:cs="Times New Roman"/>
              </w:rPr>
              <w:t>Wskazane</w:t>
            </w:r>
            <w:r w:rsidR="00267FF7">
              <w:rPr>
                <w:rFonts w:ascii="Times New Roman" w:hAnsi="Times New Roman" w:cs="Times New Roman"/>
              </w:rPr>
              <w:t>,</w:t>
            </w:r>
            <w:r w:rsidRPr="00ED723A">
              <w:rPr>
                <w:rFonts w:ascii="Times New Roman" w:hAnsi="Times New Roman" w:cs="Times New Roman"/>
              </w:rPr>
              <w:t xml:space="preserve"> aby specjaliści wszystkie uwagi dotyczące spadku motywacji i braku chęci do dalszego uczestnictwa zgłaszali do Coacha/Mentora lub Specjalisty ds. IPD. Działania takie na bieżąco zapobiegną ewentualnym nieodwracalnym skutkom.</w:t>
            </w:r>
          </w:p>
        </w:tc>
      </w:tr>
      <w:tr w:rsidR="00CB5510" w:rsidRPr="00ED723A" w:rsidTr="00075D27">
        <w:tc>
          <w:tcPr>
            <w:tcW w:w="846" w:type="dxa"/>
          </w:tcPr>
          <w:p w:rsidR="00002305" w:rsidRPr="00ED723A" w:rsidRDefault="00002305" w:rsidP="00CF49C1">
            <w:pPr>
              <w:pStyle w:val="Akapitzlist"/>
              <w:numPr>
                <w:ilvl w:val="0"/>
                <w:numId w:val="12"/>
              </w:numPr>
              <w:jc w:val="both"/>
              <w:rPr>
                <w:rFonts w:ascii="Times New Roman" w:hAnsi="Times New Roman" w:cs="Times New Roman"/>
              </w:rPr>
            </w:pPr>
          </w:p>
        </w:tc>
        <w:tc>
          <w:tcPr>
            <w:tcW w:w="2835" w:type="dxa"/>
          </w:tcPr>
          <w:p w:rsidR="00002305" w:rsidRPr="00ED723A" w:rsidRDefault="00B75E78" w:rsidP="0000554B">
            <w:pPr>
              <w:jc w:val="both"/>
              <w:rPr>
                <w:rFonts w:ascii="Times New Roman" w:hAnsi="Times New Roman" w:cs="Times New Roman"/>
              </w:rPr>
            </w:pPr>
            <w:r w:rsidRPr="00ED723A">
              <w:rPr>
                <w:rFonts w:ascii="Times New Roman" w:hAnsi="Times New Roman" w:cs="Times New Roman"/>
              </w:rPr>
              <w:t>Częstotliwość spotkań Coach z uczestnikami</w:t>
            </w:r>
          </w:p>
        </w:tc>
        <w:tc>
          <w:tcPr>
            <w:tcW w:w="5386" w:type="dxa"/>
          </w:tcPr>
          <w:p w:rsidR="00002305" w:rsidRPr="00ED723A" w:rsidRDefault="00B75E78" w:rsidP="00B75E78">
            <w:pPr>
              <w:jc w:val="both"/>
              <w:rPr>
                <w:rFonts w:ascii="Times New Roman" w:hAnsi="Times New Roman" w:cs="Times New Roman"/>
              </w:rPr>
            </w:pPr>
            <w:r w:rsidRPr="00ED723A">
              <w:rPr>
                <w:rFonts w:ascii="Times New Roman" w:hAnsi="Times New Roman" w:cs="Times New Roman"/>
              </w:rPr>
              <w:t xml:space="preserve">Z racji, iż </w:t>
            </w:r>
            <w:r w:rsidR="00CF49C1" w:rsidRPr="00ED723A">
              <w:rPr>
                <w:rFonts w:ascii="Times New Roman" w:hAnsi="Times New Roman" w:cs="Times New Roman"/>
              </w:rPr>
              <w:t>Coaching</w:t>
            </w:r>
            <w:r w:rsidRPr="00ED723A">
              <w:rPr>
                <w:rFonts w:ascii="Times New Roman" w:hAnsi="Times New Roman" w:cs="Times New Roman"/>
              </w:rPr>
              <w:t xml:space="preserve"> wymaga przemyśleń oraz odpowiedniej zmiany nastawienia i postawy ze strony uczestnika należy zapewnić maksymalny komfort czasowy</w:t>
            </w:r>
            <w:r w:rsidR="00620F4C">
              <w:rPr>
                <w:rFonts w:ascii="Times New Roman" w:hAnsi="Times New Roman" w:cs="Times New Roman"/>
              </w:rPr>
              <w:t xml:space="preserve"> uczestnikowi</w:t>
            </w:r>
            <w:r w:rsidRPr="00ED723A">
              <w:rPr>
                <w:rFonts w:ascii="Times New Roman" w:hAnsi="Times New Roman" w:cs="Times New Roman"/>
              </w:rPr>
              <w:t>.</w:t>
            </w:r>
          </w:p>
        </w:tc>
        <w:tc>
          <w:tcPr>
            <w:tcW w:w="4927" w:type="dxa"/>
          </w:tcPr>
          <w:p w:rsidR="00002305" w:rsidRPr="00ED723A" w:rsidRDefault="00B75E78" w:rsidP="00B75E78">
            <w:pPr>
              <w:jc w:val="both"/>
              <w:rPr>
                <w:rFonts w:ascii="Times New Roman" w:hAnsi="Times New Roman" w:cs="Times New Roman"/>
              </w:rPr>
            </w:pPr>
            <w:r w:rsidRPr="00ED723A">
              <w:rPr>
                <w:rFonts w:ascii="Times New Roman" w:hAnsi="Times New Roman" w:cs="Times New Roman"/>
              </w:rPr>
              <w:t>Wskazane, aby częstotliwość spotkań Cocha/Mentora była zindywidualizowana do uczestnika, jednak nie powinny być częściej niż dwa w miesiącu.</w:t>
            </w:r>
          </w:p>
        </w:tc>
      </w:tr>
      <w:tr w:rsidR="00ED723A" w:rsidRPr="00ED723A" w:rsidTr="00EE3145">
        <w:tc>
          <w:tcPr>
            <w:tcW w:w="13994" w:type="dxa"/>
            <w:gridSpan w:val="4"/>
          </w:tcPr>
          <w:p w:rsidR="00ED723A" w:rsidRDefault="00ED723A" w:rsidP="00ED723A">
            <w:pPr>
              <w:jc w:val="center"/>
              <w:rPr>
                <w:rFonts w:ascii="Times New Roman" w:hAnsi="Times New Roman" w:cs="Times New Roman"/>
                <w:b/>
                <w:sz w:val="24"/>
                <w:szCs w:val="24"/>
              </w:rPr>
            </w:pPr>
            <w:r w:rsidRPr="00ED723A">
              <w:rPr>
                <w:rFonts w:ascii="Times New Roman" w:hAnsi="Times New Roman" w:cs="Times New Roman"/>
                <w:b/>
                <w:sz w:val="24"/>
                <w:szCs w:val="24"/>
              </w:rPr>
              <w:t>Indywidualny Plan Działania</w:t>
            </w:r>
          </w:p>
          <w:p w:rsidR="006332BC" w:rsidRPr="00ED723A" w:rsidRDefault="006332BC" w:rsidP="00ED723A">
            <w:pPr>
              <w:jc w:val="center"/>
              <w:rPr>
                <w:rFonts w:ascii="Times New Roman" w:hAnsi="Times New Roman" w:cs="Times New Roman"/>
                <w:b/>
                <w:sz w:val="24"/>
                <w:szCs w:val="24"/>
              </w:rPr>
            </w:pPr>
          </w:p>
        </w:tc>
      </w:tr>
      <w:tr w:rsidR="00CB5510" w:rsidRPr="00ED723A" w:rsidTr="00075D27">
        <w:tc>
          <w:tcPr>
            <w:tcW w:w="846" w:type="dxa"/>
          </w:tcPr>
          <w:p w:rsidR="00002305" w:rsidRPr="0000554B" w:rsidRDefault="00002305" w:rsidP="0000554B">
            <w:pPr>
              <w:pStyle w:val="Akapitzlist"/>
              <w:numPr>
                <w:ilvl w:val="0"/>
                <w:numId w:val="13"/>
              </w:numPr>
              <w:jc w:val="both"/>
              <w:rPr>
                <w:rFonts w:ascii="Times New Roman" w:hAnsi="Times New Roman" w:cs="Times New Roman"/>
              </w:rPr>
            </w:pPr>
          </w:p>
        </w:tc>
        <w:tc>
          <w:tcPr>
            <w:tcW w:w="2835" w:type="dxa"/>
          </w:tcPr>
          <w:p w:rsidR="00002305" w:rsidRPr="00ED723A" w:rsidRDefault="0000554B" w:rsidP="0000554B">
            <w:pPr>
              <w:jc w:val="both"/>
              <w:rPr>
                <w:rFonts w:ascii="Times New Roman" w:hAnsi="Times New Roman" w:cs="Times New Roman"/>
              </w:rPr>
            </w:pPr>
            <w:r>
              <w:rPr>
                <w:rFonts w:ascii="Times New Roman" w:hAnsi="Times New Roman" w:cs="Times New Roman"/>
              </w:rPr>
              <w:t xml:space="preserve">Zakres i charakter pracy </w:t>
            </w:r>
            <w:r w:rsidR="00F90D9E" w:rsidRPr="00ED723A">
              <w:rPr>
                <w:rFonts w:ascii="Times New Roman" w:hAnsi="Times New Roman" w:cs="Times New Roman"/>
              </w:rPr>
              <w:t xml:space="preserve"> Specjalisty ds. IPD</w:t>
            </w:r>
          </w:p>
        </w:tc>
        <w:tc>
          <w:tcPr>
            <w:tcW w:w="5386" w:type="dxa"/>
          </w:tcPr>
          <w:p w:rsidR="00002305" w:rsidRPr="00ED723A" w:rsidRDefault="00F90D9E" w:rsidP="00620F4C">
            <w:pPr>
              <w:jc w:val="both"/>
              <w:rPr>
                <w:rFonts w:ascii="Times New Roman" w:hAnsi="Times New Roman" w:cs="Times New Roman"/>
              </w:rPr>
            </w:pPr>
            <w:r w:rsidRPr="00ED723A">
              <w:rPr>
                <w:rFonts w:ascii="Times New Roman" w:hAnsi="Times New Roman" w:cs="Times New Roman"/>
              </w:rPr>
              <w:t>Założenia wynikając</w:t>
            </w:r>
            <w:r w:rsidR="00620F4C">
              <w:rPr>
                <w:rFonts w:ascii="Times New Roman" w:hAnsi="Times New Roman" w:cs="Times New Roman"/>
              </w:rPr>
              <w:t>e</w:t>
            </w:r>
            <w:r w:rsidRPr="00ED723A">
              <w:rPr>
                <w:rFonts w:ascii="Times New Roman" w:hAnsi="Times New Roman" w:cs="Times New Roman"/>
              </w:rPr>
              <w:t xml:space="preserve"> z konkursu nie przewidywały osoby nadzorującej i spinającej wszystkie zadania w ramach </w:t>
            </w:r>
            <w:r w:rsidRPr="00ED723A">
              <w:rPr>
                <w:rFonts w:ascii="Times New Roman" w:hAnsi="Times New Roman" w:cs="Times New Roman"/>
              </w:rPr>
              <w:lastRenderedPageBreak/>
              <w:t>Innowacji. Czynności te wykonywane były przez cały zespół zaangażowany w testowanie innowacji. Niemniej jednak strona administracyjno-koordynująca jest bardzo ważna i niezbędna w całym przedsięwzięciu.</w:t>
            </w:r>
            <w:r w:rsidR="0000554B">
              <w:rPr>
                <w:rFonts w:ascii="Times New Roman" w:hAnsi="Times New Roman" w:cs="Times New Roman"/>
              </w:rPr>
              <w:t xml:space="preserve"> Zakres i charakter pracy </w:t>
            </w:r>
            <w:r w:rsidR="0000554B" w:rsidRPr="00ED723A">
              <w:rPr>
                <w:rFonts w:ascii="Times New Roman" w:hAnsi="Times New Roman" w:cs="Times New Roman"/>
              </w:rPr>
              <w:t xml:space="preserve"> Specjali</w:t>
            </w:r>
            <w:r w:rsidR="00620F4C">
              <w:rPr>
                <w:rFonts w:ascii="Times New Roman" w:hAnsi="Times New Roman" w:cs="Times New Roman"/>
              </w:rPr>
              <w:t>sty ds. IPD koncentrować powinny</w:t>
            </w:r>
            <w:r w:rsidR="0000554B" w:rsidRPr="00ED723A">
              <w:rPr>
                <w:rFonts w:ascii="Times New Roman" w:hAnsi="Times New Roman" w:cs="Times New Roman"/>
              </w:rPr>
              <w:t xml:space="preserve"> się na sferze doradczej, informacyjnej i interweniującej w trudnych sytuacjach.  Dodatkowym zajęciem była sprawa dopasowania grafiku pracy specjalistów do dyspozycyjności czasowej uczestników</w:t>
            </w:r>
          </w:p>
        </w:tc>
        <w:tc>
          <w:tcPr>
            <w:tcW w:w="4927" w:type="dxa"/>
          </w:tcPr>
          <w:p w:rsidR="00002305" w:rsidRPr="00ED723A" w:rsidRDefault="00F90D9E" w:rsidP="001C457C">
            <w:pPr>
              <w:jc w:val="both"/>
              <w:rPr>
                <w:rFonts w:ascii="Times New Roman" w:hAnsi="Times New Roman" w:cs="Times New Roman"/>
              </w:rPr>
            </w:pPr>
            <w:r w:rsidRPr="00ED723A">
              <w:rPr>
                <w:rFonts w:ascii="Times New Roman" w:hAnsi="Times New Roman" w:cs="Times New Roman"/>
              </w:rPr>
              <w:lastRenderedPageBreak/>
              <w:t xml:space="preserve">Aby sprawnie móc realizować projekt naszego pomysłu niezbędna jest osoba koordynująca </w:t>
            </w:r>
            <w:r w:rsidRPr="00ED723A">
              <w:rPr>
                <w:rFonts w:ascii="Times New Roman" w:hAnsi="Times New Roman" w:cs="Times New Roman"/>
              </w:rPr>
              <w:lastRenderedPageBreak/>
              <w:t>wszystkie działania w ramach projektu. Zarówno pracę specjalistów, grafik spotkań, indywidualizację wsparcia oraz prowadzenie niezbędnej dokumentacji</w:t>
            </w:r>
          </w:p>
        </w:tc>
      </w:tr>
      <w:tr w:rsidR="00CB5510" w:rsidRPr="00ED723A" w:rsidTr="00075D27">
        <w:tc>
          <w:tcPr>
            <w:tcW w:w="846" w:type="dxa"/>
          </w:tcPr>
          <w:p w:rsidR="00483B7A" w:rsidRPr="00CB5510" w:rsidRDefault="00483B7A" w:rsidP="00CB5510">
            <w:pPr>
              <w:pStyle w:val="Akapitzlist"/>
              <w:numPr>
                <w:ilvl w:val="0"/>
                <w:numId w:val="13"/>
              </w:numPr>
              <w:jc w:val="both"/>
              <w:rPr>
                <w:rFonts w:ascii="Times New Roman" w:hAnsi="Times New Roman" w:cs="Times New Roman"/>
              </w:rPr>
            </w:pPr>
          </w:p>
        </w:tc>
        <w:tc>
          <w:tcPr>
            <w:tcW w:w="2835" w:type="dxa"/>
          </w:tcPr>
          <w:p w:rsidR="00483B7A" w:rsidRPr="00ED723A" w:rsidRDefault="00483B7A" w:rsidP="00CB5510">
            <w:pPr>
              <w:jc w:val="both"/>
              <w:rPr>
                <w:rFonts w:ascii="Times New Roman" w:hAnsi="Times New Roman" w:cs="Times New Roman"/>
              </w:rPr>
            </w:pPr>
            <w:r w:rsidRPr="00ED723A">
              <w:rPr>
                <w:rFonts w:ascii="Times New Roman" w:hAnsi="Times New Roman" w:cs="Times New Roman"/>
              </w:rPr>
              <w:t>Częstotliwość kontaktów i spotkań Specjalisty ds. IPD z uczestnikami.</w:t>
            </w:r>
          </w:p>
        </w:tc>
        <w:tc>
          <w:tcPr>
            <w:tcW w:w="5386" w:type="dxa"/>
          </w:tcPr>
          <w:p w:rsidR="00483B7A" w:rsidRPr="00ED723A" w:rsidRDefault="00483B7A" w:rsidP="00483B7A">
            <w:pPr>
              <w:jc w:val="both"/>
              <w:rPr>
                <w:rFonts w:ascii="Times New Roman" w:hAnsi="Times New Roman" w:cs="Times New Roman"/>
              </w:rPr>
            </w:pPr>
            <w:r w:rsidRPr="00ED723A">
              <w:rPr>
                <w:rFonts w:ascii="Times New Roman" w:hAnsi="Times New Roman" w:cs="Times New Roman"/>
              </w:rPr>
              <w:t xml:space="preserve">Rola Specjalisty ds. IPD powinna być skoncentrowana na </w:t>
            </w:r>
            <w:r w:rsidR="003044EC">
              <w:rPr>
                <w:rFonts w:ascii="Times New Roman" w:hAnsi="Times New Roman" w:cs="Times New Roman"/>
              </w:rPr>
              <w:t xml:space="preserve">nadzorowaniu sprawnego przebiegu projektu od strony administracyjnej przy równoczesnym </w:t>
            </w:r>
            <w:r w:rsidRPr="00ED723A">
              <w:rPr>
                <w:rFonts w:ascii="Times New Roman" w:hAnsi="Times New Roman" w:cs="Times New Roman"/>
              </w:rPr>
              <w:t>układaniu grafików pracy w porozumieniu z</w:t>
            </w:r>
            <w:r w:rsidR="003044EC">
              <w:rPr>
                <w:rFonts w:ascii="Times New Roman" w:hAnsi="Times New Roman" w:cs="Times New Roman"/>
              </w:rPr>
              <w:t xml:space="preserve">e specjalistami a uczestnikami. </w:t>
            </w:r>
          </w:p>
        </w:tc>
        <w:tc>
          <w:tcPr>
            <w:tcW w:w="4927" w:type="dxa"/>
          </w:tcPr>
          <w:p w:rsidR="00483B7A" w:rsidRPr="00ED723A" w:rsidRDefault="00483B7A" w:rsidP="00483B7A">
            <w:pPr>
              <w:jc w:val="both"/>
              <w:rPr>
                <w:rFonts w:ascii="Times New Roman" w:hAnsi="Times New Roman" w:cs="Times New Roman"/>
              </w:rPr>
            </w:pPr>
            <w:r w:rsidRPr="00ED723A">
              <w:rPr>
                <w:rFonts w:ascii="Times New Roman" w:hAnsi="Times New Roman" w:cs="Times New Roman"/>
              </w:rPr>
              <w:t xml:space="preserve">Wskazane, aby częstotliwość kontaktów i ewentualnych spotkań Specjalisty była zindywidualizowana do uczestnika, jednak nie powinny być częściej niż dwa </w:t>
            </w:r>
            <w:r w:rsidR="003044EC">
              <w:rPr>
                <w:rFonts w:ascii="Times New Roman" w:hAnsi="Times New Roman" w:cs="Times New Roman"/>
              </w:rPr>
              <w:t xml:space="preserve">razy </w:t>
            </w:r>
            <w:r w:rsidRPr="00ED723A">
              <w:rPr>
                <w:rFonts w:ascii="Times New Roman" w:hAnsi="Times New Roman" w:cs="Times New Roman"/>
              </w:rPr>
              <w:t xml:space="preserve">w miesiącu. Działania takie zwiększą przede wszystkim komfort i prywatność uczestnika </w:t>
            </w:r>
          </w:p>
        </w:tc>
      </w:tr>
      <w:tr w:rsidR="00CB5510" w:rsidRPr="00ED723A" w:rsidTr="00E03053">
        <w:tc>
          <w:tcPr>
            <w:tcW w:w="13994" w:type="dxa"/>
            <w:gridSpan w:val="4"/>
          </w:tcPr>
          <w:p w:rsidR="00CB5510" w:rsidRDefault="00CB5510" w:rsidP="00CB5510">
            <w:pPr>
              <w:jc w:val="center"/>
              <w:rPr>
                <w:rFonts w:ascii="Times New Roman" w:hAnsi="Times New Roman" w:cs="Times New Roman"/>
                <w:b/>
                <w:sz w:val="24"/>
                <w:szCs w:val="24"/>
              </w:rPr>
            </w:pPr>
            <w:r w:rsidRPr="00CB5510">
              <w:rPr>
                <w:rFonts w:ascii="Times New Roman" w:hAnsi="Times New Roman" w:cs="Times New Roman"/>
                <w:b/>
                <w:sz w:val="24"/>
                <w:szCs w:val="24"/>
              </w:rPr>
              <w:t>Prawo dla seniora</w:t>
            </w:r>
          </w:p>
          <w:p w:rsidR="006332BC" w:rsidRPr="00CB5510" w:rsidRDefault="006332BC" w:rsidP="00CB5510">
            <w:pPr>
              <w:jc w:val="center"/>
              <w:rPr>
                <w:rFonts w:ascii="Times New Roman" w:hAnsi="Times New Roman" w:cs="Times New Roman"/>
                <w:b/>
                <w:sz w:val="24"/>
                <w:szCs w:val="24"/>
              </w:rPr>
            </w:pPr>
          </w:p>
        </w:tc>
      </w:tr>
      <w:tr w:rsidR="00CB5510" w:rsidRPr="00ED723A" w:rsidTr="00075D27">
        <w:tc>
          <w:tcPr>
            <w:tcW w:w="846" w:type="dxa"/>
          </w:tcPr>
          <w:p w:rsidR="00483B7A" w:rsidRPr="00CB5510" w:rsidRDefault="00483B7A" w:rsidP="00CB5510">
            <w:pPr>
              <w:pStyle w:val="Akapitzlist"/>
              <w:numPr>
                <w:ilvl w:val="0"/>
                <w:numId w:val="14"/>
              </w:numPr>
              <w:jc w:val="both"/>
              <w:rPr>
                <w:rFonts w:ascii="Times New Roman" w:hAnsi="Times New Roman" w:cs="Times New Roman"/>
              </w:rPr>
            </w:pPr>
          </w:p>
        </w:tc>
        <w:tc>
          <w:tcPr>
            <w:tcW w:w="2835" w:type="dxa"/>
          </w:tcPr>
          <w:p w:rsidR="00483B7A" w:rsidRPr="00ED723A" w:rsidRDefault="00F90D9E" w:rsidP="00CB5510">
            <w:pPr>
              <w:jc w:val="both"/>
              <w:rPr>
                <w:rFonts w:ascii="Times New Roman" w:hAnsi="Times New Roman" w:cs="Times New Roman"/>
              </w:rPr>
            </w:pPr>
            <w:r w:rsidRPr="00ED723A">
              <w:rPr>
                <w:rFonts w:ascii="Times New Roman" w:hAnsi="Times New Roman" w:cs="Times New Roman"/>
              </w:rPr>
              <w:t xml:space="preserve">Zakres i charakter udzielanego wsparcia </w:t>
            </w:r>
          </w:p>
        </w:tc>
        <w:tc>
          <w:tcPr>
            <w:tcW w:w="5386" w:type="dxa"/>
          </w:tcPr>
          <w:p w:rsidR="00483B7A" w:rsidRPr="00ED723A" w:rsidRDefault="00CB5510" w:rsidP="00483B7A">
            <w:pPr>
              <w:jc w:val="both"/>
              <w:rPr>
                <w:rFonts w:ascii="Times New Roman" w:hAnsi="Times New Roman" w:cs="Times New Roman"/>
              </w:rPr>
            </w:pPr>
            <w:r w:rsidRPr="00ED723A">
              <w:rPr>
                <w:rFonts w:ascii="Times New Roman" w:hAnsi="Times New Roman" w:cs="Times New Roman"/>
              </w:rPr>
              <w:t xml:space="preserve">Zakres i charakter udzielanego wsparcia powinien wynikać z przeprowadzonej diagnozy wstępnej. W przypadku braku konieczności wsparcia zindywidualizowanego można przeprowadzać  konsultacje i pogadanki na tematy typu: Hipoteka odwrócona, zawieranie umów, prawa konsumenta, „oszustwa na wnuczka” </w:t>
            </w:r>
            <w:r w:rsidR="003044EC">
              <w:rPr>
                <w:rFonts w:ascii="Times New Roman" w:hAnsi="Times New Roman" w:cs="Times New Roman"/>
              </w:rPr>
              <w:t>itp.</w:t>
            </w:r>
          </w:p>
        </w:tc>
        <w:tc>
          <w:tcPr>
            <w:tcW w:w="4927" w:type="dxa"/>
          </w:tcPr>
          <w:p w:rsidR="00483B7A" w:rsidRDefault="00F90D9E" w:rsidP="00F90D9E">
            <w:pPr>
              <w:jc w:val="both"/>
              <w:rPr>
                <w:rFonts w:ascii="Times New Roman" w:hAnsi="Times New Roman" w:cs="Times New Roman"/>
              </w:rPr>
            </w:pPr>
            <w:r w:rsidRPr="00ED723A">
              <w:rPr>
                <w:rFonts w:ascii="Times New Roman" w:hAnsi="Times New Roman" w:cs="Times New Roman"/>
              </w:rPr>
              <w:t xml:space="preserve">Zakres prawa jest ogromny, nie ma potrzeby omawiania wszystkich jego obszarów. Dobrym pomysłem jest przygotowanie wcześniej ulotki, broszurki na tematy bliskie dla seniorów. W uzasadnionych i szczególnych przypadkach podejście zindywidualizowane w zależności od potrzeb.  </w:t>
            </w:r>
          </w:p>
          <w:p w:rsidR="003044EC" w:rsidRPr="00ED723A" w:rsidRDefault="003044EC" w:rsidP="00F90D9E">
            <w:pPr>
              <w:jc w:val="both"/>
              <w:rPr>
                <w:rFonts w:ascii="Times New Roman" w:hAnsi="Times New Roman" w:cs="Times New Roman"/>
              </w:rPr>
            </w:pPr>
          </w:p>
        </w:tc>
      </w:tr>
      <w:tr w:rsidR="00CB5510" w:rsidRPr="00ED723A" w:rsidTr="00075D27">
        <w:tc>
          <w:tcPr>
            <w:tcW w:w="846" w:type="dxa"/>
          </w:tcPr>
          <w:p w:rsidR="00593043" w:rsidRPr="00CB5510" w:rsidRDefault="00593043" w:rsidP="00CB5510">
            <w:pPr>
              <w:pStyle w:val="Akapitzlist"/>
              <w:numPr>
                <w:ilvl w:val="0"/>
                <w:numId w:val="14"/>
              </w:numPr>
              <w:jc w:val="both"/>
              <w:rPr>
                <w:rFonts w:ascii="Times New Roman" w:hAnsi="Times New Roman" w:cs="Times New Roman"/>
              </w:rPr>
            </w:pPr>
          </w:p>
        </w:tc>
        <w:tc>
          <w:tcPr>
            <w:tcW w:w="2835" w:type="dxa"/>
          </w:tcPr>
          <w:p w:rsidR="00593043" w:rsidRPr="00ED723A" w:rsidRDefault="00593043" w:rsidP="00CB5510">
            <w:pPr>
              <w:jc w:val="both"/>
              <w:rPr>
                <w:rFonts w:ascii="Times New Roman" w:hAnsi="Times New Roman" w:cs="Times New Roman"/>
              </w:rPr>
            </w:pPr>
            <w:r w:rsidRPr="00ED723A">
              <w:rPr>
                <w:rFonts w:ascii="Times New Roman" w:hAnsi="Times New Roman" w:cs="Times New Roman"/>
              </w:rPr>
              <w:t xml:space="preserve">Częstotliwość </w:t>
            </w:r>
            <w:r w:rsidR="00CB5510">
              <w:rPr>
                <w:rFonts w:ascii="Times New Roman" w:hAnsi="Times New Roman" w:cs="Times New Roman"/>
              </w:rPr>
              <w:t>spotkań Prawnika z uczestnikami</w:t>
            </w:r>
            <w:r w:rsidRPr="00ED723A">
              <w:rPr>
                <w:rFonts w:ascii="Times New Roman" w:hAnsi="Times New Roman" w:cs="Times New Roman"/>
              </w:rPr>
              <w:t xml:space="preserve">. </w:t>
            </w:r>
          </w:p>
        </w:tc>
        <w:tc>
          <w:tcPr>
            <w:tcW w:w="5386" w:type="dxa"/>
          </w:tcPr>
          <w:p w:rsidR="00593043" w:rsidRPr="00ED723A" w:rsidRDefault="00432D3D" w:rsidP="008C6150">
            <w:pPr>
              <w:jc w:val="both"/>
              <w:rPr>
                <w:rFonts w:ascii="Times New Roman" w:hAnsi="Times New Roman" w:cs="Times New Roman"/>
              </w:rPr>
            </w:pPr>
            <w:r w:rsidRPr="00ED723A">
              <w:rPr>
                <w:rFonts w:ascii="Times New Roman" w:hAnsi="Times New Roman" w:cs="Times New Roman"/>
              </w:rPr>
              <w:t xml:space="preserve">Wsparcie udzielane przez Prawnika powinno w znacznym stopniu wynikać z wyników diagnozy wstępnej. Niejednokrotnie podczas trwania IS </w:t>
            </w:r>
            <w:r w:rsidR="008C6150" w:rsidRPr="00ED723A">
              <w:rPr>
                <w:rFonts w:ascii="Times New Roman" w:hAnsi="Times New Roman" w:cs="Times New Roman"/>
              </w:rPr>
              <w:t xml:space="preserve">dało się zauważyć, iż uczestnicy po kilku spotkaniach z Prawnikiem </w:t>
            </w:r>
            <w:r w:rsidR="003044EC">
              <w:rPr>
                <w:rFonts w:ascii="Times New Roman" w:hAnsi="Times New Roman" w:cs="Times New Roman"/>
              </w:rPr>
              <w:t>dostrzegali obszary, gdzie mogło</w:t>
            </w:r>
            <w:r w:rsidR="008C6150" w:rsidRPr="00ED723A">
              <w:rPr>
                <w:rFonts w:ascii="Times New Roman" w:hAnsi="Times New Roman" w:cs="Times New Roman"/>
              </w:rPr>
              <w:t xml:space="preserve"> być pomocne wsparcie ze strony Prawnika.</w:t>
            </w:r>
          </w:p>
        </w:tc>
        <w:tc>
          <w:tcPr>
            <w:tcW w:w="4927" w:type="dxa"/>
          </w:tcPr>
          <w:p w:rsidR="00593043" w:rsidRPr="00ED723A" w:rsidRDefault="00CB5510" w:rsidP="00CB5510">
            <w:pPr>
              <w:jc w:val="both"/>
              <w:rPr>
                <w:rFonts w:ascii="Times New Roman" w:hAnsi="Times New Roman" w:cs="Times New Roman"/>
              </w:rPr>
            </w:pPr>
            <w:r w:rsidRPr="00ED723A">
              <w:rPr>
                <w:rFonts w:ascii="Times New Roman" w:hAnsi="Times New Roman" w:cs="Times New Roman"/>
              </w:rPr>
              <w:t>Częstotliwość kontaktów i spotkań Prawnika z uczestnikami powinna być zindywidualizowana.</w:t>
            </w:r>
            <w:r>
              <w:rPr>
                <w:rFonts w:ascii="Times New Roman" w:hAnsi="Times New Roman" w:cs="Times New Roman"/>
              </w:rPr>
              <w:t xml:space="preserve"> Może zaistnieć sytuacja, iż </w:t>
            </w:r>
            <w:r w:rsidRPr="00ED723A">
              <w:rPr>
                <w:rFonts w:ascii="Times New Roman" w:hAnsi="Times New Roman" w:cs="Times New Roman"/>
              </w:rPr>
              <w:t xml:space="preserve"> </w:t>
            </w:r>
            <w:r>
              <w:rPr>
                <w:rFonts w:ascii="Times New Roman" w:hAnsi="Times New Roman" w:cs="Times New Roman"/>
              </w:rPr>
              <w:t xml:space="preserve">podczas diagnozy wstępnej nie zostaną wychwycone wszystkie ewentualne obszary pracy z Prawnikiem. </w:t>
            </w:r>
            <w:r w:rsidR="00593043" w:rsidRPr="00ED723A">
              <w:rPr>
                <w:rFonts w:ascii="Times New Roman" w:hAnsi="Times New Roman" w:cs="Times New Roman"/>
              </w:rPr>
              <w:t xml:space="preserve">Wskazane, aby częstotliwość </w:t>
            </w:r>
            <w:r w:rsidR="008C6150" w:rsidRPr="00ED723A">
              <w:rPr>
                <w:rFonts w:ascii="Times New Roman" w:hAnsi="Times New Roman" w:cs="Times New Roman"/>
              </w:rPr>
              <w:t xml:space="preserve">spotkań z Prawnikiem nie była częstsza niż jeden raz w miesiącu. </w:t>
            </w:r>
            <w:r w:rsidR="003044EC">
              <w:rPr>
                <w:rFonts w:ascii="Times New Roman" w:hAnsi="Times New Roman" w:cs="Times New Roman"/>
              </w:rPr>
              <w:t>W uzasadnionych przypadkach częściej.</w:t>
            </w:r>
          </w:p>
        </w:tc>
      </w:tr>
      <w:tr w:rsidR="00CB5510" w:rsidRPr="00ED723A" w:rsidTr="00075D27">
        <w:tc>
          <w:tcPr>
            <w:tcW w:w="846" w:type="dxa"/>
          </w:tcPr>
          <w:p w:rsidR="006F29B6" w:rsidRPr="00CB5510" w:rsidRDefault="006F29B6" w:rsidP="00CB5510">
            <w:pPr>
              <w:pStyle w:val="Akapitzlist"/>
              <w:numPr>
                <w:ilvl w:val="0"/>
                <w:numId w:val="14"/>
              </w:numPr>
              <w:jc w:val="both"/>
              <w:rPr>
                <w:rFonts w:ascii="Times New Roman" w:hAnsi="Times New Roman" w:cs="Times New Roman"/>
              </w:rPr>
            </w:pPr>
          </w:p>
        </w:tc>
        <w:tc>
          <w:tcPr>
            <w:tcW w:w="2835" w:type="dxa"/>
          </w:tcPr>
          <w:p w:rsidR="006F29B6" w:rsidRPr="00ED723A" w:rsidRDefault="00CB5510" w:rsidP="00CB5510">
            <w:pPr>
              <w:jc w:val="both"/>
              <w:rPr>
                <w:rFonts w:ascii="Times New Roman" w:hAnsi="Times New Roman" w:cs="Times New Roman"/>
              </w:rPr>
            </w:pPr>
            <w:r>
              <w:rPr>
                <w:rFonts w:ascii="Times New Roman" w:hAnsi="Times New Roman" w:cs="Times New Roman"/>
              </w:rPr>
              <w:t xml:space="preserve">Zachowanie intymności i prywatności uczestnika </w:t>
            </w:r>
          </w:p>
        </w:tc>
        <w:tc>
          <w:tcPr>
            <w:tcW w:w="5386" w:type="dxa"/>
          </w:tcPr>
          <w:p w:rsidR="006F29B6" w:rsidRPr="00ED723A" w:rsidRDefault="003044EC" w:rsidP="003044EC">
            <w:pPr>
              <w:jc w:val="both"/>
              <w:rPr>
                <w:rFonts w:ascii="Times New Roman" w:hAnsi="Times New Roman" w:cs="Times New Roman"/>
              </w:rPr>
            </w:pPr>
            <w:r>
              <w:rPr>
                <w:rFonts w:ascii="Times New Roman" w:hAnsi="Times New Roman" w:cs="Times New Roman"/>
              </w:rPr>
              <w:t xml:space="preserve">Podobnie jak w przypadku </w:t>
            </w:r>
            <w:r w:rsidR="006F29B6" w:rsidRPr="00ED723A">
              <w:rPr>
                <w:rFonts w:ascii="Times New Roman" w:hAnsi="Times New Roman" w:cs="Times New Roman"/>
              </w:rPr>
              <w:t>Coaching</w:t>
            </w:r>
            <w:r>
              <w:rPr>
                <w:rFonts w:ascii="Times New Roman" w:hAnsi="Times New Roman" w:cs="Times New Roman"/>
              </w:rPr>
              <w:t xml:space="preserve">u, zakres wsparcia prawnego wymaga szczególnej delikatności , wrażliwości i </w:t>
            </w:r>
            <w:r>
              <w:rPr>
                <w:rFonts w:ascii="Times New Roman" w:hAnsi="Times New Roman" w:cs="Times New Roman"/>
              </w:rPr>
              <w:lastRenderedPageBreak/>
              <w:t xml:space="preserve">dania poczucia dla uczestnika anonimowości, a przede wszystkim zachowanie tajemnicy. </w:t>
            </w:r>
            <w:r w:rsidR="006F29B6" w:rsidRPr="00ED723A">
              <w:rPr>
                <w:rFonts w:ascii="Times New Roman" w:hAnsi="Times New Roman" w:cs="Times New Roman"/>
              </w:rPr>
              <w:t xml:space="preserve"> </w:t>
            </w:r>
          </w:p>
        </w:tc>
        <w:tc>
          <w:tcPr>
            <w:tcW w:w="4927" w:type="dxa"/>
          </w:tcPr>
          <w:p w:rsidR="006F29B6" w:rsidRDefault="006F29B6" w:rsidP="003044EC">
            <w:pPr>
              <w:jc w:val="both"/>
              <w:rPr>
                <w:rFonts w:ascii="Times New Roman" w:hAnsi="Times New Roman" w:cs="Times New Roman"/>
              </w:rPr>
            </w:pPr>
            <w:r w:rsidRPr="00ED723A">
              <w:rPr>
                <w:rFonts w:ascii="Times New Roman" w:hAnsi="Times New Roman" w:cs="Times New Roman"/>
              </w:rPr>
              <w:lastRenderedPageBreak/>
              <w:t>Rekomendujemy</w:t>
            </w:r>
            <w:r w:rsidR="003044EC">
              <w:rPr>
                <w:rFonts w:ascii="Times New Roman" w:hAnsi="Times New Roman" w:cs="Times New Roman"/>
              </w:rPr>
              <w:t>,</w:t>
            </w:r>
            <w:r w:rsidRPr="00ED723A">
              <w:rPr>
                <w:rFonts w:ascii="Times New Roman" w:hAnsi="Times New Roman" w:cs="Times New Roman"/>
              </w:rPr>
              <w:t xml:space="preserve"> aby wsparcie </w:t>
            </w:r>
            <w:r w:rsidR="003044EC">
              <w:rPr>
                <w:rFonts w:ascii="Times New Roman" w:hAnsi="Times New Roman" w:cs="Times New Roman"/>
              </w:rPr>
              <w:t>prawne</w:t>
            </w:r>
            <w:r w:rsidRPr="00ED723A">
              <w:rPr>
                <w:rFonts w:ascii="Times New Roman" w:hAnsi="Times New Roman" w:cs="Times New Roman"/>
              </w:rPr>
              <w:t xml:space="preserve"> prowadzone było przez osobę zewnątrz danego środowiska i najlepiej wcześniej nieznaną uczestnikowi. Działanie </w:t>
            </w:r>
            <w:r w:rsidRPr="00ED723A">
              <w:rPr>
                <w:rFonts w:ascii="Times New Roman" w:hAnsi="Times New Roman" w:cs="Times New Roman"/>
              </w:rPr>
              <w:lastRenderedPageBreak/>
              <w:t>takie w znacznym stopniu wpłynie na</w:t>
            </w:r>
            <w:r w:rsidR="00CB5510">
              <w:rPr>
                <w:rFonts w:ascii="Times New Roman" w:hAnsi="Times New Roman" w:cs="Times New Roman"/>
              </w:rPr>
              <w:t xml:space="preserve"> jakość pracy specjalisty oraz w znacznym stopniu będzie miało wpływ na „otwarcie się” uczestnika.</w:t>
            </w:r>
          </w:p>
          <w:p w:rsidR="003044EC" w:rsidRPr="00ED723A" w:rsidRDefault="003044EC" w:rsidP="003044EC">
            <w:pPr>
              <w:jc w:val="both"/>
              <w:rPr>
                <w:rFonts w:ascii="Times New Roman" w:hAnsi="Times New Roman" w:cs="Times New Roman"/>
              </w:rPr>
            </w:pPr>
          </w:p>
        </w:tc>
      </w:tr>
      <w:tr w:rsidR="00CB5510" w:rsidRPr="00ED723A" w:rsidTr="00F769D3">
        <w:tc>
          <w:tcPr>
            <w:tcW w:w="13994" w:type="dxa"/>
            <w:gridSpan w:val="4"/>
          </w:tcPr>
          <w:p w:rsidR="00CB5510" w:rsidRDefault="00CB5510" w:rsidP="00CB5510">
            <w:pPr>
              <w:jc w:val="center"/>
              <w:rPr>
                <w:rFonts w:ascii="Times New Roman" w:hAnsi="Times New Roman" w:cs="Times New Roman"/>
                <w:b/>
                <w:sz w:val="24"/>
                <w:szCs w:val="24"/>
              </w:rPr>
            </w:pPr>
            <w:r w:rsidRPr="00CB5510">
              <w:rPr>
                <w:rFonts w:ascii="Times New Roman" w:hAnsi="Times New Roman" w:cs="Times New Roman"/>
                <w:b/>
                <w:sz w:val="24"/>
                <w:szCs w:val="24"/>
              </w:rPr>
              <w:lastRenderedPageBreak/>
              <w:t>Zajęcia usprawniająco-ruchowe</w:t>
            </w:r>
          </w:p>
          <w:p w:rsidR="006332BC" w:rsidRPr="00CB5510" w:rsidRDefault="006332BC" w:rsidP="00CB5510">
            <w:pPr>
              <w:jc w:val="center"/>
              <w:rPr>
                <w:rFonts w:ascii="Times New Roman" w:hAnsi="Times New Roman" w:cs="Times New Roman"/>
                <w:b/>
                <w:sz w:val="24"/>
                <w:szCs w:val="24"/>
              </w:rPr>
            </w:pPr>
          </w:p>
        </w:tc>
      </w:tr>
      <w:tr w:rsidR="001A10E3" w:rsidRPr="00ED723A" w:rsidTr="00075D27">
        <w:tc>
          <w:tcPr>
            <w:tcW w:w="846" w:type="dxa"/>
          </w:tcPr>
          <w:p w:rsidR="001A10E3" w:rsidRPr="00CB5510" w:rsidRDefault="001A10E3" w:rsidP="00CB5510">
            <w:pPr>
              <w:pStyle w:val="Akapitzlist"/>
              <w:numPr>
                <w:ilvl w:val="0"/>
                <w:numId w:val="15"/>
              </w:numPr>
              <w:jc w:val="both"/>
              <w:rPr>
                <w:rFonts w:ascii="Times New Roman" w:hAnsi="Times New Roman" w:cs="Times New Roman"/>
              </w:rPr>
            </w:pPr>
          </w:p>
        </w:tc>
        <w:tc>
          <w:tcPr>
            <w:tcW w:w="2835" w:type="dxa"/>
          </w:tcPr>
          <w:p w:rsidR="001A10E3" w:rsidRPr="00ED723A" w:rsidRDefault="001A10E3" w:rsidP="00BD7F45">
            <w:pPr>
              <w:jc w:val="both"/>
              <w:rPr>
                <w:rFonts w:ascii="Times New Roman" w:hAnsi="Times New Roman" w:cs="Times New Roman"/>
              </w:rPr>
            </w:pPr>
            <w:r>
              <w:rPr>
                <w:rFonts w:ascii="Times New Roman" w:hAnsi="Times New Roman" w:cs="Times New Roman"/>
              </w:rPr>
              <w:t>Zakres wsparcia</w:t>
            </w:r>
          </w:p>
        </w:tc>
        <w:tc>
          <w:tcPr>
            <w:tcW w:w="5386" w:type="dxa"/>
          </w:tcPr>
          <w:p w:rsidR="001A10E3" w:rsidRPr="00ED723A" w:rsidRDefault="001A10E3" w:rsidP="001A10E3">
            <w:pPr>
              <w:jc w:val="both"/>
              <w:rPr>
                <w:rFonts w:ascii="Times New Roman" w:hAnsi="Times New Roman" w:cs="Times New Roman"/>
              </w:rPr>
            </w:pPr>
            <w:r>
              <w:rPr>
                <w:rFonts w:ascii="Times New Roman" w:hAnsi="Times New Roman" w:cs="Times New Roman"/>
              </w:rPr>
              <w:t xml:space="preserve">Założeniem wsparcia były jedynie zajęcia usprawniająco-ruchowe, przyczyniające się do poprawy kondycji fizycznej uczestnika. Z racji, iż wsparcie udzielane jest w miejscu zamieszkania uczestnika niestety też nie ma możliwości wykonania typowych zabiegów fizjoterapeutycznych. Dlatego też praca specjalisty powinna być skoncentrowana na nauce odpowiednich ćwiczeń i towarzyszenie uczestnikowi w ich wykonywaniu.  </w:t>
            </w:r>
          </w:p>
        </w:tc>
        <w:tc>
          <w:tcPr>
            <w:tcW w:w="4927" w:type="dxa"/>
          </w:tcPr>
          <w:p w:rsidR="001A10E3" w:rsidRPr="00ED723A" w:rsidRDefault="001A10E3" w:rsidP="002615DF">
            <w:pPr>
              <w:jc w:val="both"/>
              <w:rPr>
                <w:rFonts w:ascii="Times New Roman" w:hAnsi="Times New Roman" w:cs="Times New Roman"/>
              </w:rPr>
            </w:pPr>
            <w:r>
              <w:rPr>
                <w:rFonts w:ascii="Times New Roman" w:hAnsi="Times New Roman" w:cs="Times New Roman"/>
              </w:rPr>
              <w:t>Praca specjalisty powinna być skoncentrowana na nauce odpowiednich ćwiczeń i wyrobienie nawyków samodzielnego ćwiczenia przez uczestnika. Dodatkowo mogą być to zajęcia plenerowe (np. zewnętrza siłownia) lub Nordic Woking.</w:t>
            </w:r>
          </w:p>
        </w:tc>
      </w:tr>
      <w:tr w:rsidR="00CB5510" w:rsidRPr="00ED723A" w:rsidTr="00075D27">
        <w:tc>
          <w:tcPr>
            <w:tcW w:w="846" w:type="dxa"/>
          </w:tcPr>
          <w:p w:rsidR="006F29B6" w:rsidRPr="00CB5510" w:rsidRDefault="006F29B6" w:rsidP="00CB5510">
            <w:pPr>
              <w:pStyle w:val="Akapitzlist"/>
              <w:numPr>
                <w:ilvl w:val="0"/>
                <w:numId w:val="15"/>
              </w:numPr>
              <w:jc w:val="both"/>
              <w:rPr>
                <w:rFonts w:ascii="Times New Roman" w:hAnsi="Times New Roman" w:cs="Times New Roman"/>
              </w:rPr>
            </w:pPr>
          </w:p>
        </w:tc>
        <w:tc>
          <w:tcPr>
            <w:tcW w:w="2835" w:type="dxa"/>
          </w:tcPr>
          <w:p w:rsidR="006F29B6" w:rsidRPr="00ED723A" w:rsidRDefault="006F29B6" w:rsidP="001A10E3">
            <w:pPr>
              <w:jc w:val="both"/>
              <w:rPr>
                <w:rFonts w:ascii="Times New Roman" w:hAnsi="Times New Roman" w:cs="Times New Roman"/>
              </w:rPr>
            </w:pPr>
            <w:r w:rsidRPr="00ED723A">
              <w:rPr>
                <w:rFonts w:ascii="Times New Roman" w:hAnsi="Times New Roman" w:cs="Times New Roman"/>
              </w:rPr>
              <w:t xml:space="preserve">Częstotliwość </w:t>
            </w:r>
            <w:r w:rsidR="001A10E3">
              <w:rPr>
                <w:rFonts w:ascii="Times New Roman" w:hAnsi="Times New Roman" w:cs="Times New Roman"/>
              </w:rPr>
              <w:t>spotkań</w:t>
            </w:r>
            <w:r w:rsidRPr="00ED723A">
              <w:rPr>
                <w:rFonts w:ascii="Times New Roman" w:hAnsi="Times New Roman" w:cs="Times New Roman"/>
              </w:rPr>
              <w:t xml:space="preserve"> </w:t>
            </w:r>
          </w:p>
        </w:tc>
        <w:tc>
          <w:tcPr>
            <w:tcW w:w="5386" w:type="dxa"/>
          </w:tcPr>
          <w:p w:rsidR="006F29B6" w:rsidRPr="00ED723A" w:rsidRDefault="006F29B6" w:rsidP="006332BC">
            <w:pPr>
              <w:jc w:val="both"/>
              <w:rPr>
                <w:rFonts w:ascii="Times New Roman" w:hAnsi="Times New Roman" w:cs="Times New Roman"/>
              </w:rPr>
            </w:pPr>
            <w:r w:rsidRPr="00ED723A">
              <w:rPr>
                <w:rFonts w:ascii="Times New Roman" w:hAnsi="Times New Roman" w:cs="Times New Roman"/>
              </w:rPr>
              <w:t xml:space="preserve">Wsparcie oferowane przez Specjalistę ds. usprawniająco – ruchowych powinno mieć charakter usprawniający, zachęcający do zwiększenia aktywności fizycznej oraz instruktażowy. Natomiast powinno się unikać wszelkiej aktywności, która mogłaby zaszkodzić uczestnikowi z racji wykonywania ich poza placówką </w:t>
            </w:r>
            <w:r w:rsidR="006332BC">
              <w:rPr>
                <w:rFonts w:ascii="Times New Roman" w:hAnsi="Times New Roman" w:cs="Times New Roman"/>
              </w:rPr>
              <w:t>specjalistyczną</w:t>
            </w:r>
            <w:r w:rsidRPr="00ED723A">
              <w:rPr>
                <w:rFonts w:ascii="Times New Roman" w:hAnsi="Times New Roman" w:cs="Times New Roman"/>
              </w:rPr>
              <w:t xml:space="preserve">. </w:t>
            </w:r>
          </w:p>
        </w:tc>
        <w:tc>
          <w:tcPr>
            <w:tcW w:w="4927" w:type="dxa"/>
          </w:tcPr>
          <w:p w:rsidR="006F29B6" w:rsidRPr="00ED723A" w:rsidRDefault="006F29B6" w:rsidP="002615DF">
            <w:pPr>
              <w:jc w:val="both"/>
              <w:rPr>
                <w:rFonts w:ascii="Times New Roman" w:hAnsi="Times New Roman" w:cs="Times New Roman"/>
              </w:rPr>
            </w:pPr>
            <w:r w:rsidRPr="00ED723A">
              <w:rPr>
                <w:rFonts w:ascii="Times New Roman" w:hAnsi="Times New Roman" w:cs="Times New Roman"/>
              </w:rPr>
              <w:t>Zauważono, iż najlepsze efekty zostały osiągane  gdy wsparcie oferowane było co najmniej dwa razy w tygodniu.  Zajęcia i ćwiczenia powinny być zindywidualizowane i dostosowane do możliwości sprawnościow</w:t>
            </w:r>
            <w:r w:rsidR="002615DF" w:rsidRPr="00ED723A">
              <w:rPr>
                <w:rFonts w:ascii="Times New Roman" w:hAnsi="Times New Roman" w:cs="Times New Roman"/>
              </w:rPr>
              <w:t xml:space="preserve">o – zdrowotnych </w:t>
            </w:r>
            <w:r w:rsidRPr="00ED723A">
              <w:rPr>
                <w:rFonts w:ascii="Times New Roman" w:hAnsi="Times New Roman" w:cs="Times New Roman"/>
              </w:rPr>
              <w:t>uczestnika.</w:t>
            </w:r>
          </w:p>
        </w:tc>
      </w:tr>
      <w:tr w:rsidR="00BD7F45" w:rsidRPr="00ED723A" w:rsidTr="00AA3A0E">
        <w:tc>
          <w:tcPr>
            <w:tcW w:w="13994" w:type="dxa"/>
            <w:gridSpan w:val="4"/>
          </w:tcPr>
          <w:p w:rsidR="00BD7F45" w:rsidRDefault="00BD7F45" w:rsidP="00BD7F45">
            <w:pPr>
              <w:jc w:val="center"/>
              <w:rPr>
                <w:rFonts w:ascii="Times New Roman" w:hAnsi="Times New Roman" w:cs="Times New Roman"/>
                <w:b/>
                <w:sz w:val="24"/>
                <w:szCs w:val="24"/>
              </w:rPr>
            </w:pPr>
            <w:r w:rsidRPr="00BD7F45">
              <w:rPr>
                <w:rFonts w:ascii="Times New Roman" w:hAnsi="Times New Roman" w:cs="Times New Roman"/>
                <w:b/>
                <w:sz w:val="24"/>
                <w:szCs w:val="24"/>
              </w:rPr>
              <w:t>Dietetyka</w:t>
            </w:r>
          </w:p>
          <w:p w:rsidR="006332BC" w:rsidRPr="00BD7F45" w:rsidRDefault="006332BC" w:rsidP="00BD7F45">
            <w:pPr>
              <w:jc w:val="center"/>
              <w:rPr>
                <w:rFonts w:ascii="Times New Roman" w:hAnsi="Times New Roman" w:cs="Times New Roman"/>
                <w:b/>
                <w:sz w:val="24"/>
                <w:szCs w:val="24"/>
              </w:rPr>
            </w:pPr>
          </w:p>
        </w:tc>
      </w:tr>
      <w:tr w:rsidR="006332BC" w:rsidRPr="00ED723A" w:rsidTr="00075D27">
        <w:tc>
          <w:tcPr>
            <w:tcW w:w="846" w:type="dxa"/>
          </w:tcPr>
          <w:p w:rsidR="006332BC" w:rsidRPr="00BD7F45" w:rsidRDefault="006332BC" w:rsidP="006332BC">
            <w:pPr>
              <w:pStyle w:val="Akapitzlist"/>
              <w:numPr>
                <w:ilvl w:val="0"/>
                <w:numId w:val="16"/>
              </w:numPr>
              <w:jc w:val="both"/>
              <w:rPr>
                <w:rFonts w:ascii="Times New Roman" w:hAnsi="Times New Roman" w:cs="Times New Roman"/>
              </w:rPr>
            </w:pPr>
          </w:p>
        </w:tc>
        <w:tc>
          <w:tcPr>
            <w:tcW w:w="2835" w:type="dxa"/>
          </w:tcPr>
          <w:p w:rsidR="006332BC" w:rsidRDefault="006332BC" w:rsidP="006332BC">
            <w:pPr>
              <w:jc w:val="both"/>
              <w:rPr>
                <w:rFonts w:ascii="Times New Roman" w:hAnsi="Times New Roman" w:cs="Times New Roman"/>
              </w:rPr>
            </w:pPr>
            <w:r>
              <w:rPr>
                <w:rFonts w:ascii="Times New Roman" w:hAnsi="Times New Roman" w:cs="Times New Roman"/>
              </w:rPr>
              <w:t>Zakres wsparcia</w:t>
            </w:r>
          </w:p>
        </w:tc>
        <w:tc>
          <w:tcPr>
            <w:tcW w:w="5386" w:type="dxa"/>
          </w:tcPr>
          <w:p w:rsidR="006332BC" w:rsidRPr="00ED723A" w:rsidRDefault="006332BC" w:rsidP="006332BC">
            <w:pPr>
              <w:jc w:val="both"/>
              <w:rPr>
                <w:rFonts w:ascii="Times New Roman" w:hAnsi="Times New Roman" w:cs="Times New Roman"/>
              </w:rPr>
            </w:pPr>
            <w:r>
              <w:rPr>
                <w:rFonts w:ascii="Times New Roman" w:hAnsi="Times New Roman" w:cs="Times New Roman"/>
              </w:rPr>
              <w:t>Założeniem wsparcia było zdiagnozowanie, ułożenie odpowiedniego jadłospisu (w porozumieniu z uczestnikiem) i instruktaż odpowiedniego stosowania zaproponowanego sposobu jedzenia/ diety oraz nabycie przez uczestnika zdrowych nawyków jedzenia.</w:t>
            </w:r>
          </w:p>
        </w:tc>
        <w:tc>
          <w:tcPr>
            <w:tcW w:w="4927" w:type="dxa"/>
          </w:tcPr>
          <w:p w:rsidR="006332BC" w:rsidRPr="00ED723A" w:rsidRDefault="006332BC" w:rsidP="006332BC">
            <w:pPr>
              <w:jc w:val="both"/>
              <w:rPr>
                <w:rFonts w:ascii="Times New Roman" w:hAnsi="Times New Roman" w:cs="Times New Roman"/>
              </w:rPr>
            </w:pPr>
            <w:r>
              <w:rPr>
                <w:rFonts w:ascii="Times New Roman" w:hAnsi="Times New Roman" w:cs="Times New Roman"/>
              </w:rPr>
              <w:t>Zakres wsparcia powinien w dużej mierze zależeć od wyników jakie planujemy osiągnąć. Inaczej będziemy pracować gdy celem jest redukcja masy ciała, a inaczej gdy chcemy jedynie zmienić postawy żywieniowe u uczestnika. Dlatego wskazane jest opracowanie wspólnie z uczestnikiem planu naszych założeń. Ważnym aspektem naszego planu są uwarunkowania zdrowotne uczestnika.</w:t>
            </w:r>
          </w:p>
        </w:tc>
      </w:tr>
      <w:tr w:rsidR="006332BC" w:rsidRPr="00ED723A" w:rsidTr="00075D27">
        <w:tc>
          <w:tcPr>
            <w:tcW w:w="846" w:type="dxa"/>
          </w:tcPr>
          <w:p w:rsidR="006332BC" w:rsidRPr="00BD7F45" w:rsidRDefault="006332BC" w:rsidP="006332BC">
            <w:pPr>
              <w:pStyle w:val="Akapitzlist"/>
              <w:numPr>
                <w:ilvl w:val="0"/>
                <w:numId w:val="16"/>
              </w:numPr>
              <w:jc w:val="both"/>
              <w:rPr>
                <w:rFonts w:ascii="Times New Roman" w:hAnsi="Times New Roman" w:cs="Times New Roman"/>
              </w:rPr>
            </w:pPr>
          </w:p>
        </w:tc>
        <w:tc>
          <w:tcPr>
            <w:tcW w:w="2835" w:type="dxa"/>
          </w:tcPr>
          <w:p w:rsidR="006332BC" w:rsidRPr="00ED723A" w:rsidRDefault="006332BC" w:rsidP="006332BC">
            <w:pPr>
              <w:jc w:val="both"/>
              <w:rPr>
                <w:rFonts w:ascii="Times New Roman" w:hAnsi="Times New Roman" w:cs="Times New Roman"/>
              </w:rPr>
            </w:pPr>
            <w:r>
              <w:rPr>
                <w:rFonts w:ascii="Times New Roman" w:hAnsi="Times New Roman" w:cs="Times New Roman"/>
              </w:rPr>
              <w:t xml:space="preserve">Zachowanie intymności i prywatności uczestnika </w:t>
            </w:r>
          </w:p>
        </w:tc>
        <w:tc>
          <w:tcPr>
            <w:tcW w:w="5386" w:type="dxa"/>
          </w:tcPr>
          <w:p w:rsidR="006332BC" w:rsidRPr="00ED723A" w:rsidRDefault="006332BC" w:rsidP="00D20367">
            <w:pPr>
              <w:jc w:val="both"/>
              <w:rPr>
                <w:rFonts w:ascii="Times New Roman" w:hAnsi="Times New Roman" w:cs="Times New Roman"/>
              </w:rPr>
            </w:pPr>
            <w:r>
              <w:rPr>
                <w:rFonts w:ascii="Times New Roman" w:hAnsi="Times New Roman" w:cs="Times New Roman"/>
              </w:rPr>
              <w:t xml:space="preserve">Podobnie jak w przypadku poprzednich wsparć, tak też </w:t>
            </w:r>
            <w:r w:rsidR="00D20367">
              <w:rPr>
                <w:rFonts w:ascii="Times New Roman" w:hAnsi="Times New Roman" w:cs="Times New Roman"/>
              </w:rPr>
              <w:t xml:space="preserve">podczas wsparcia dietetycznego powinniśmy być szczególnie wrażliwi na zachowanie intymności i prywatności uczestnika. </w:t>
            </w:r>
          </w:p>
        </w:tc>
        <w:tc>
          <w:tcPr>
            <w:tcW w:w="4927" w:type="dxa"/>
          </w:tcPr>
          <w:p w:rsidR="006332BC" w:rsidRDefault="006332BC" w:rsidP="00D20367">
            <w:pPr>
              <w:jc w:val="both"/>
              <w:rPr>
                <w:rFonts w:ascii="Times New Roman" w:hAnsi="Times New Roman" w:cs="Times New Roman"/>
              </w:rPr>
            </w:pPr>
            <w:r w:rsidRPr="00ED723A">
              <w:rPr>
                <w:rFonts w:ascii="Times New Roman" w:hAnsi="Times New Roman" w:cs="Times New Roman"/>
              </w:rPr>
              <w:t>Rekomendujemy</w:t>
            </w:r>
            <w:r w:rsidR="00D20367">
              <w:rPr>
                <w:rFonts w:ascii="Times New Roman" w:hAnsi="Times New Roman" w:cs="Times New Roman"/>
              </w:rPr>
              <w:t>,</w:t>
            </w:r>
            <w:r w:rsidRPr="00ED723A">
              <w:rPr>
                <w:rFonts w:ascii="Times New Roman" w:hAnsi="Times New Roman" w:cs="Times New Roman"/>
              </w:rPr>
              <w:t xml:space="preserve"> aby wsparcie </w:t>
            </w:r>
            <w:r w:rsidR="00D20367">
              <w:rPr>
                <w:rFonts w:ascii="Times New Roman" w:hAnsi="Times New Roman" w:cs="Times New Roman"/>
              </w:rPr>
              <w:t>Dietetyka</w:t>
            </w:r>
            <w:r w:rsidRPr="00ED723A">
              <w:rPr>
                <w:rFonts w:ascii="Times New Roman" w:hAnsi="Times New Roman" w:cs="Times New Roman"/>
              </w:rPr>
              <w:t xml:space="preserve"> prowadzone było przez osobę zewnątrz danego środowiska i najlepiej wcześniej nieznaną </w:t>
            </w:r>
            <w:r w:rsidRPr="00ED723A">
              <w:rPr>
                <w:rFonts w:ascii="Times New Roman" w:hAnsi="Times New Roman" w:cs="Times New Roman"/>
              </w:rPr>
              <w:lastRenderedPageBreak/>
              <w:t>uczestnikowi. Działanie takie w znacznym stopniu wpłynie na</w:t>
            </w:r>
            <w:r w:rsidR="00D20367">
              <w:rPr>
                <w:rFonts w:ascii="Times New Roman" w:hAnsi="Times New Roman" w:cs="Times New Roman"/>
              </w:rPr>
              <w:t xml:space="preserve"> motywację i mobilizację uczestnika.</w:t>
            </w:r>
          </w:p>
          <w:p w:rsidR="00D20367" w:rsidRPr="00ED723A" w:rsidRDefault="00D20367" w:rsidP="00D20367">
            <w:pPr>
              <w:jc w:val="both"/>
              <w:rPr>
                <w:rFonts w:ascii="Times New Roman" w:hAnsi="Times New Roman" w:cs="Times New Roman"/>
              </w:rPr>
            </w:pPr>
          </w:p>
        </w:tc>
      </w:tr>
      <w:tr w:rsidR="00CB5510" w:rsidRPr="00ED723A" w:rsidTr="00075D27">
        <w:tc>
          <w:tcPr>
            <w:tcW w:w="846" w:type="dxa"/>
          </w:tcPr>
          <w:p w:rsidR="006F29B6" w:rsidRPr="00ED723A" w:rsidRDefault="006F29B6" w:rsidP="00BD7F45">
            <w:pPr>
              <w:pStyle w:val="Akapitzlist"/>
              <w:numPr>
                <w:ilvl w:val="0"/>
                <w:numId w:val="16"/>
              </w:numPr>
              <w:jc w:val="both"/>
              <w:rPr>
                <w:rFonts w:ascii="Times New Roman" w:hAnsi="Times New Roman" w:cs="Times New Roman"/>
              </w:rPr>
            </w:pPr>
          </w:p>
        </w:tc>
        <w:tc>
          <w:tcPr>
            <w:tcW w:w="2835" w:type="dxa"/>
          </w:tcPr>
          <w:p w:rsidR="006F29B6" w:rsidRPr="00ED723A" w:rsidRDefault="006F29B6" w:rsidP="006332BC">
            <w:pPr>
              <w:jc w:val="both"/>
              <w:rPr>
                <w:rFonts w:ascii="Times New Roman" w:hAnsi="Times New Roman" w:cs="Times New Roman"/>
              </w:rPr>
            </w:pPr>
            <w:r w:rsidRPr="00ED723A">
              <w:rPr>
                <w:rFonts w:ascii="Times New Roman" w:hAnsi="Times New Roman" w:cs="Times New Roman"/>
              </w:rPr>
              <w:t xml:space="preserve">Częstotliwość kontaktów i spotkań </w:t>
            </w:r>
          </w:p>
        </w:tc>
        <w:tc>
          <w:tcPr>
            <w:tcW w:w="5386" w:type="dxa"/>
          </w:tcPr>
          <w:p w:rsidR="006F29B6" w:rsidRDefault="006F29B6" w:rsidP="00D20367">
            <w:pPr>
              <w:jc w:val="both"/>
              <w:rPr>
                <w:rFonts w:ascii="Times New Roman" w:hAnsi="Times New Roman" w:cs="Times New Roman"/>
              </w:rPr>
            </w:pPr>
            <w:r w:rsidRPr="00ED723A">
              <w:rPr>
                <w:rFonts w:ascii="Times New Roman" w:hAnsi="Times New Roman" w:cs="Times New Roman"/>
              </w:rPr>
              <w:t xml:space="preserve">Wsparcie udzielane przez Dietetyka powinno w znacznym stopniu wynikać z wyników diagnozy wstępnej. W wielu przypadkach podczas trwania IS dało się zauważyć, iż uczestnicy po </w:t>
            </w:r>
            <w:r w:rsidR="00D20367">
              <w:rPr>
                <w:rFonts w:ascii="Times New Roman" w:hAnsi="Times New Roman" w:cs="Times New Roman"/>
              </w:rPr>
              <w:t>rozpoczęciu procesu żywieniowego</w:t>
            </w:r>
            <w:r w:rsidRPr="00ED723A">
              <w:rPr>
                <w:rFonts w:ascii="Times New Roman" w:hAnsi="Times New Roman" w:cs="Times New Roman"/>
              </w:rPr>
              <w:t xml:space="preserve"> zauważali potrzebę kontynuacji wsparcia</w:t>
            </w:r>
            <w:r w:rsidR="00D20367">
              <w:rPr>
                <w:rFonts w:ascii="Times New Roman" w:hAnsi="Times New Roman" w:cs="Times New Roman"/>
              </w:rPr>
              <w:t xml:space="preserve"> po wyjściu z projektu</w:t>
            </w:r>
            <w:r w:rsidRPr="00ED723A">
              <w:rPr>
                <w:rFonts w:ascii="Times New Roman" w:hAnsi="Times New Roman" w:cs="Times New Roman"/>
              </w:rPr>
              <w:t xml:space="preserve">. </w:t>
            </w:r>
          </w:p>
          <w:p w:rsidR="00D20367" w:rsidRPr="00ED723A" w:rsidRDefault="00D20367" w:rsidP="00D20367">
            <w:pPr>
              <w:jc w:val="both"/>
              <w:rPr>
                <w:rFonts w:ascii="Times New Roman" w:hAnsi="Times New Roman" w:cs="Times New Roman"/>
              </w:rPr>
            </w:pPr>
          </w:p>
        </w:tc>
        <w:tc>
          <w:tcPr>
            <w:tcW w:w="4927" w:type="dxa"/>
          </w:tcPr>
          <w:p w:rsidR="006F29B6" w:rsidRPr="00ED723A" w:rsidRDefault="006F29B6" w:rsidP="00D20367">
            <w:pPr>
              <w:jc w:val="both"/>
              <w:rPr>
                <w:rFonts w:ascii="Times New Roman" w:hAnsi="Times New Roman" w:cs="Times New Roman"/>
              </w:rPr>
            </w:pPr>
            <w:r w:rsidRPr="00ED723A">
              <w:rPr>
                <w:rFonts w:ascii="Times New Roman" w:hAnsi="Times New Roman" w:cs="Times New Roman"/>
              </w:rPr>
              <w:t xml:space="preserve">Wskazane, aby częstotliwość spotkań z Dietetykiem nie była </w:t>
            </w:r>
            <w:r w:rsidR="00D20367">
              <w:rPr>
                <w:rFonts w:ascii="Times New Roman" w:hAnsi="Times New Roman" w:cs="Times New Roman"/>
              </w:rPr>
              <w:t>większa</w:t>
            </w:r>
            <w:r w:rsidRPr="00ED723A">
              <w:rPr>
                <w:rFonts w:ascii="Times New Roman" w:hAnsi="Times New Roman" w:cs="Times New Roman"/>
              </w:rPr>
              <w:t xml:space="preserve"> niż jeden raz w miesiącu. W uzasadnionych i szczególnych przypadkach wskazane podejście zindywidualizowane w zależności od potrzeb.  </w:t>
            </w:r>
          </w:p>
        </w:tc>
      </w:tr>
      <w:tr w:rsidR="00A66162" w:rsidRPr="00ED723A" w:rsidTr="00220C78">
        <w:tc>
          <w:tcPr>
            <w:tcW w:w="13994" w:type="dxa"/>
            <w:gridSpan w:val="4"/>
          </w:tcPr>
          <w:p w:rsidR="00A66162" w:rsidRDefault="00A66162" w:rsidP="00A66162">
            <w:pPr>
              <w:jc w:val="center"/>
              <w:rPr>
                <w:rFonts w:ascii="Times New Roman" w:hAnsi="Times New Roman" w:cs="Times New Roman"/>
                <w:b/>
                <w:sz w:val="24"/>
                <w:szCs w:val="24"/>
              </w:rPr>
            </w:pPr>
            <w:r w:rsidRPr="00A66162">
              <w:rPr>
                <w:rFonts w:ascii="Times New Roman" w:hAnsi="Times New Roman" w:cs="Times New Roman"/>
                <w:b/>
                <w:sz w:val="24"/>
                <w:szCs w:val="24"/>
              </w:rPr>
              <w:t>Budżet domowy</w:t>
            </w:r>
          </w:p>
          <w:p w:rsidR="00D20367" w:rsidRPr="00A66162" w:rsidRDefault="00D20367" w:rsidP="00A66162">
            <w:pPr>
              <w:jc w:val="center"/>
              <w:rPr>
                <w:rFonts w:ascii="Times New Roman" w:hAnsi="Times New Roman" w:cs="Times New Roman"/>
                <w:b/>
                <w:sz w:val="24"/>
                <w:szCs w:val="24"/>
              </w:rPr>
            </w:pPr>
          </w:p>
        </w:tc>
      </w:tr>
      <w:tr w:rsidR="00CB5510" w:rsidRPr="00ED723A" w:rsidTr="00075D27">
        <w:tc>
          <w:tcPr>
            <w:tcW w:w="846" w:type="dxa"/>
          </w:tcPr>
          <w:p w:rsidR="006F29B6" w:rsidRPr="00D20367" w:rsidRDefault="006F29B6" w:rsidP="00D20367">
            <w:pPr>
              <w:pStyle w:val="Akapitzlist"/>
              <w:numPr>
                <w:ilvl w:val="0"/>
                <w:numId w:val="17"/>
              </w:numPr>
              <w:jc w:val="both"/>
              <w:rPr>
                <w:rFonts w:ascii="Times New Roman" w:hAnsi="Times New Roman" w:cs="Times New Roman"/>
              </w:rPr>
            </w:pPr>
          </w:p>
        </w:tc>
        <w:tc>
          <w:tcPr>
            <w:tcW w:w="2835" w:type="dxa"/>
          </w:tcPr>
          <w:p w:rsidR="006F29B6" w:rsidRPr="00ED723A" w:rsidRDefault="00D20367" w:rsidP="00D20367">
            <w:pPr>
              <w:jc w:val="both"/>
              <w:rPr>
                <w:rFonts w:ascii="Times New Roman" w:hAnsi="Times New Roman" w:cs="Times New Roman"/>
              </w:rPr>
            </w:pPr>
            <w:r>
              <w:rPr>
                <w:rFonts w:ascii="Times New Roman" w:hAnsi="Times New Roman" w:cs="Times New Roman"/>
              </w:rPr>
              <w:t>Zakres wsparcia</w:t>
            </w:r>
          </w:p>
        </w:tc>
        <w:tc>
          <w:tcPr>
            <w:tcW w:w="5386" w:type="dxa"/>
          </w:tcPr>
          <w:p w:rsidR="006F29B6" w:rsidRDefault="006F29B6" w:rsidP="006F29B6">
            <w:pPr>
              <w:jc w:val="both"/>
              <w:rPr>
                <w:rFonts w:ascii="Times New Roman" w:hAnsi="Times New Roman" w:cs="Times New Roman"/>
              </w:rPr>
            </w:pPr>
            <w:r w:rsidRPr="00ED723A">
              <w:rPr>
                <w:rFonts w:ascii="Times New Roman" w:hAnsi="Times New Roman" w:cs="Times New Roman"/>
              </w:rPr>
              <w:t>Uwarunkowania związane z wiekiem mogą wpływać negatywnie na jakość podejmowanych decyzji finansowych. Ponadto na rynku pojawiają się nowe możliwości lokowania inwestycji. Dlatego niezbędna jest edukacja osób starszych w zakresie finansów, gdyż coraz częściej osoby z tej grupy podejmują skomplikowane decyzje, zwłaszcza w zakresie konsumowania i inwestowania oszczędności. Należy stworzyć program spotkań edukacyjnych, będący częścią ustawicznego systemu kształcenia, realizowane w formie szkoleń i warsztatów dla osób starszych. Pozwoliłyby one zapoznać się z tematyką finansów, sposobami zarządzania domowym budżetem, czy metodami inwestowania posiadanych środków.</w:t>
            </w:r>
          </w:p>
          <w:p w:rsidR="00D20367" w:rsidRPr="00ED723A" w:rsidRDefault="00D20367" w:rsidP="006F29B6">
            <w:pPr>
              <w:jc w:val="both"/>
              <w:rPr>
                <w:rFonts w:ascii="Times New Roman" w:hAnsi="Times New Roman" w:cs="Times New Roman"/>
              </w:rPr>
            </w:pPr>
          </w:p>
        </w:tc>
        <w:tc>
          <w:tcPr>
            <w:tcW w:w="4927" w:type="dxa"/>
          </w:tcPr>
          <w:p w:rsidR="00D20367" w:rsidRDefault="00D20367" w:rsidP="00D20367">
            <w:pPr>
              <w:jc w:val="both"/>
              <w:rPr>
                <w:rFonts w:ascii="Times New Roman" w:hAnsi="Times New Roman" w:cs="Times New Roman"/>
              </w:rPr>
            </w:pPr>
            <w:r>
              <w:rPr>
                <w:rFonts w:ascii="Times New Roman" w:hAnsi="Times New Roman" w:cs="Times New Roman"/>
              </w:rPr>
              <w:t xml:space="preserve">Podobnie jak w przypadku prawa, zakres instrumentów oraz rynku finansowego jest ogromny. Również tutaj </w:t>
            </w:r>
            <w:r w:rsidRPr="00ED723A">
              <w:rPr>
                <w:rFonts w:ascii="Times New Roman" w:hAnsi="Times New Roman" w:cs="Times New Roman"/>
              </w:rPr>
              <w:t xml:space="preserve">nie ma potrzeby omawiania wszystkich jego obszarów. Dobrym pomysłem jest przygotowanie wcześniej ulotki, broszurki na tematy bliskie dla seniorów. W uzasadnionych i szczególnych przypadkach podejście zindywidualizowane w zależności od potrzeb.  </w:t>
            </w:r>
          </w:p>
          <w:p w:rsidR="006F29B6" w:rsidRPr="00ED723A" w:rsidRDefault="006F29B6" w:rsidP="006F29B6">
            <w:pPr>
              <w:jc w:val="both"/>
              <w:rPr>
                <w:rFonts w:ascii="Times New Roman" w:hAnsi="Times New Roman" w:cs="Times New Roman"/>
              </w:rPr>
            </w:pPr>
          </w:p>
        </w:tc>
      </w:tr>
      <w:tr w:rsidR="00CB5510" w:rsidRPr="00ED723A" w:rsidTr="00075D27">
        <w:tc>
          <w:tcPr>
            <w:tcW w:w="846" w:type="dxa"/>
          </w:tcPr>
          <w:p w:rsidR="006F29B6" w:rsidRPr="00D20367" w:rsidRDefault="006F29B6" w:rsidP="00D20367">
            <w:pPr>
              <w:pStyle w:val="Akapitzlist"/>
              <w:numPr>
                <w:ilvl w:val="0"/>
                <w:numId w:val="17"/>
              </w:numPr>
              <w:jc w:val="both"/>
              <w:rPr>
                <w:rFonts w:ascii="Times New Roman" w:hAnsi="Times New Roman" w:cs="Times New Roman"/>
              </w:rPr>
            </w:pPr>
          </w:p>
        </w:tc>
        <w:tc>
          <w:tcPr>
            <w:tcW w:w="2835" w:type="dxa"/>
          </w:tcPr>
          <w:p w:rsidR="006F29B6" w:rsidRPr="00ED723A" w:rsidRDefault="006F29B6" w:rsidP="00D20367">
            <w:pPr>
              <w:jc w:val="both"/>
              <w:rPr>
                <w:rFonts w:ascii="Times New Roman" w:hAnsi="Times New Roman" w:cs="Times New Roman"/>
              </w:rPr>
            </w:pPr>
            <w:r w:rsidRPr="00ED723A">
              <w:rPr>
                <w:rFonts w:ascii="Times New Roman" w:hAnsi="Times New Roman" w:cs="Times New Roman"/>
              </w:rPr>
              <w:t xml:space="preserve">Częstotliwość kontaktów i spotkań </w:t>
            </w:r>
          </w:p>
        </w:tc>
        <w:tc>
          <w:tcPr>
            <w:tcW w:w="5386" w:type="dxa"/>
          </w:tcPr>
          <w:p w:rsidR="006F29B6" w:rsidRDefault="006F29B6" w:rsidP="006F29B6">
            <w:pPr>
              <w:jc w:val="both"/>
              <w:rPr>
                <w:rFonts w:ascii="Times New Roman" w:hAnsi="Times New Roman" w:cs="Times New Roman"/>
              </w:rPr>
            </w:pPr>
            <w:r w:rsidRPr="00ED723A">
              <w:rPr>
                <w:rFonts w:ascii="Times New Roman" w:hAnsi="Times New Roman" w:cs="Times New Roman"/>
              </w:rPr>
              <w:t>Wsparcie udzielane przez Specjalisty ds. budżetu domowego  powinno w znacznym stopniu wynikać z wyników diagnozy wstępnej.  Dodatkowo powinny być przygot</w:t>
            </w:r>
            <w:r w:rsidR="00D20367">
              <w:rPr>
                <w:rFonts w:ascii="Times New Roman" w:hAnsi="Times New Roman" w:cs="Times New Roman"/>
              </w:rPr>
              <w:t>owane obligatoryjne tematy np.:</w:t>
            </w:r>
            <w:r w:rsidRPr="00ED723A">
              <w:rPr>
                <w:rFonts w:ascii="Times New Roman" w:hAnsi="Times New Roman" w:cs="Times New Roman"/>
              </w:rPr>
              <w:t xml:space="preserve"> Uczestnik powinien podczas udziału w projekcie wyposażony być w niezbędną i wyczerpującą wiedzę na temat oferowanego wsparcia. </w:t>
            </w:r>
          </w:p>
          <w:p w:rsidR="00D20367" w:rsidRPr="00ED723A" w:rsidRDefault="00D20367" w:rsidP="006F29B6">
            <w:pPr>
              <w:jc w:val="both"/>
              <w:rPr>
                <w:rFonts w:ascii="Times New Roman" w:hAnsi="Times New Roman" w:cs="Times New Roman"/>
              </w:rPr>
            </w:pPr>
          </w:p>
        </w:tc>
        <w:tc>
          <w:tcPr>
            <w:tcW w:w="4927" w:type="dxa"/>
          </w:tcPr>
          <w:p w:rsidR="006F29B6" w:rsidRPr="00ED723A" w:rsidRDefault="006F29B6" w:rsidP="006F29B6">
            <w:pPr>
              <w:jc w:val="both"/>
              <w:rPr>
                <w:rFonts w:ascii="Times New Roman" w:hAnsi="Times New Roman" w:cs="Times New Roman"/>
              </w:rPr>
            </w:pPr>
            <w:r w:rsidRPr="00ED723A">
              <w:rPr>
                <w:rFonts w:ascii="Times New Roman" w:hAnsi="Times New Roman" w:cs="Times New Roman"/>
              </w:rPr>
              <w:t xml:space="preserve">Wskazane, aby częstotliwość spotkań z Specjalistą ds. budżetu domowego nie była częstsza niż dwa razy w miesiącu. W uzasadnionych i szczególnych przypadkach wskazane podejście zindywidualizowane w zależności od potrzeb.  </w:t>
            </w:r>
          </w:p>
        </w:tc>
      </w:tr>
      <w:tr w:rsidR="006F29B6" w:rsidRPr="00A66162" w:rsidTr="00284F56">
        <w:tc>
          <w:tcPr>
            <w:tcW w:w="13994" w:type="dxa"/>
            <w:gridSpan w:val="4"/>
          </w:tcPr>
          <w:p w:rsidR="006F29B6" w:rsidRDefault="006F29B6" w:rsidP="002615DF">
            <w:pPr>
              <w:pStyle w:val="Akapitzlist"/>
              <w:numPr>
                <w:ilvl w:val="0"/>
                <w:numId w:val="3"/>
              </w:numPr>
              <w:jc w:val="center"/>
              <w:rPr>
                <w:rFonts w:ascii="Times New Roman" w:hAnsi="Times New Roman" w:cs="Times New Roman"/>
                <w:b/>
                <w:sz w:val="28"/>
                <w:szCs w:val="28"/>
              </w:rPr>
            </w:pPr>
            <w:r w:rsidRPr="00A66162">
              <w:rPr>
                <w:rFonts w:ascii="Times New Roman" w:hAnsi="Times New Roman" w:cs="Times New Roman"/>
                <w:b/>
                <w:sz w:val="28"/>
                <w:szCs w:val="28"/>
              </w:rPr>
              <w:lastRenderedPageBreak/>
              <w:t>Dobór uczestników i personelu</w:t>
            </w:r>
          </w:p>
          <w:p w:rsidR="00D20367" w:rsidRPr="00A66162" w:rsidRDefault="00D20367" w:rsidP="00D20367">
            <w:pPr>
              <w:pStyle w:val="Akapitzlist"/>
              <w:ind w:left="1080"/>
              <w:rPr>
                <w:rFonts w:ascii="Times New Roman" w:hAnsi="Times New Roman" w:cs="Times New Roman"/>
                <w:b/>
                <w:sz w:val="28"/>
                <w:szCs w:val="28"/>
              </w:rPr>
            </w:pPr>
          </w:p>
        </w:tc>
      </w:tr>
      <w:tr w:rsidR="00CB5510" w:rsidRPr="00ED723A" w:rsidTr="00075D27">
        <w:tc>
          <w:tcPr>
            <w:tcW w:w="846" w:type="dxa"/>
          </w:tcPr>
          <w:p w:rsidR="006F29B6" w:rsidRPr="00ED723A" w:rsidRDefault="006F29B6" w:rsidP="006F29B6">
            <w:pPr>
              <w:pStyle w:val="Akapitzlist"/>
              <w:numPr>
                <w:ilvl w:val="0"/>
                <w:numId w:val="10"/>
              </w:numPr>
              <w:jc w:val="both"/>
              <w:rPr>
                <w:rFonts w:ascii="Times New Roman" w:hAnsi="Times New Roman" w:cs="Times New Roman"/>
              </w:rPr>
            </w:pPr>
          </w:p>
        </w:tc>
        <w:tc>
          <w:tcPr>
            <w:tcW w:w="2835" w:type="dxa"/>
          </w:tcPr>
          <w:p w:rsidR="006F29B6" w:rsidRPr="00ED723A" w:rsidRDefault="00C12990" w:rsidP="00C12990">
            <w:pPr>
              <w:jc w:val="both"/>
              <w:rPr>
                <w:rFonts w:ascii="Times New Roman" w:hAnsi="Times New Roman" w:cs="Times New Roman"/>
              </w:rPr>
            </w:pPr>
            <w:r>
              <w:rPr>
                <w:rFonts w:ascii="Times New Roman" w:hAnsi="Times New Roman" w:cs="Times New Roman"/>
              </w:rPr>
              <w:t>Kryteria doboru uczestników</w:t>
            </w:r>
            <w:r w:rsidR="006F29B6" w:rsidRPr="00ED723A">
              <w:rPr>
                <w:rFonts w:ascii="Times New Roman" w:hAnsi="Times New Roman" w:cs="Times New Roman"/>
              </w:rPr>
              <w:t xml:space="preserve">. </w:t>
            </w:r>
          </w:p>
        </w:tc>
        <w:tc>
          <w:tcPr>
            <w:tcW w:w="5386" w:type="dxa"/>
          </w:tcPr>
          <w:p w:rsidR="006F29B6" w:rsidRPr="00ED723A" w:rsidRDefault="00D20367" w:rsidP="00313777">
            <w:pPr>
              <w:rPr>
                <w:rFonts w:ascii="Times New Roman" w:hAnsi="Times New Roman" w:cs="Times New Roman"/>
              </w:rPr>
            </w:pPr>
            <w:r>
              <w:rPr>
                <w:rFonts w:ascii="Times New Roman" w:hAnsi="Times New Roman" w:cs="Times New Roman"/>
              </w:rPr>
              <w:t>Najważniejszymi kryteriami doboru uczestników do projektu było spełnienie  trzech warunków; zamieszkanie na terenie naszej gminy (tereny wiejskie), 60 + oraz zgoda i deklaracja do pełnego uczestnictwa.  Dodatkowe aspekty tego obszaru zostały szczegółowo omówione w dokumencie</w:t>
            </w:r>
            <w:r w:rsidR="00313777">
              <w:rPr>
                <w:rFonts w:ascii="Times New Roman" w:hAnsi="Times New Roman" w:cs="Times New Roman"/>
              </w:rPr>
              <w:t xml:space="preserve"> </w:t>
            </w:r>
            <w:r w:rsidR="00313777" w:rsidRPr="00313777">
              <w:rPr>
                <w:rFonts w:ascii="Times New Roman" w:hAnsi="Times New Roman" w:cs="Times New Roman"/>
              </w:rPr>
              <w:t>Karta Wskazania do objęcia wsparciem Innowacji Społecznej „Mobilne Centrum Pomocy Dla Osób Starszych”</w:t>
            </w:r>
          </w:p>
        </w:tc>
        <w:tc>
          <w:tcPr>
            <w:tcW w:w="4927" w:type="dxa"/>
          </w:tcPr>
          <w:p w:rsidR="006F29B6" w:rsidRPr="00ED723A" w:rsidRDefault="006F29B6" w:rsidP="006F29B6">
            <w:pPr>
              <w:jc w:val="both"/>
              <w:rPr>
                <w:rFonts w:ascii="Times New Roman" w:hAnsi="Times New Roman" w:cs="Times New Roman"/>
              </w:rPr>
            </w:pPr>
            <w:r w:rsidRPr="00ED723A">
              <w:rPr>
                <w:rFonts w:ascii="Times New Roman" w:hAnsi="Times New Roman" w:cs="Times New Roman"/>
              </w:rPr>
              <w:t xml:space="preserve">W doborze uczestników projektu zalecana jest ścisła współpraca pomiędzy lokalnymi NGO, OPS i organizacjami kościelnymi w celu wybrania osób, które spełniają </w:t>
            </w:r>
            <w:r w:rsidR="00313777">
              <w:rPr>
                <w:rFonts w:ascii="Times New Roman" w:hAnsi="Times New Roman" w:cs="Times New Roman"/>
              </w:rPr>
              <w:t>określane przez nas warunki.</w:t>
            </w:r>
          </w:p>
        </w:tc>
      </w:tr>
      <w:tr w:rsidR="00CB5510" w:rsidRPr="00ED723A" w:rsidTr="00075D27">
        <w:tc>
          <w:tcPr>
            <w:tcW w:w="846" w:type="dxa"/>
          </w:tcPr>
          <w:p w:rsidR="00C8122E" w:rsidRPr="00A66162" w:rsidRDefault="00C8122E" w:rsidP="00A66162">
            <w:pPr>
              <w:pStyle w:val="Akapitzlist"/>
              <w:numPr>
                <w:ilvl w:val="0"/>
                <w:numId w:val="10"/>
              </w:numPr>
              <w:jc w:val="both"/>
              <w:rPr>
                <w:rFonts w:ascii="Times New Roman" w:hAnsi="Times New Roman" w:cs="Times New Roman"/>
              </w:rPr>
            </w:pPr>
          </w:p>
        </w:tc>
        <w:tc>
          <w:tcPr>
            <w:tcW w:w="2835" w:type="dxa"/>
          </w:tcPr>
          <w:p w:rsidR="00C8122E" w:rsidRPr="00ED723A" w:rsidRDefault="00C61179" w:rsidP="00C61179">
            <w:pPr>
              <w:jc w:val="both"/>
              <w:rPr>
                <w:rFonts w:ascii="Times New Roman" w:hAnsi="Times New Roman" w:cs="Times New Roman"/>
              </w:rPr>
            </w:pPr>
            <w:r>
              <w:rPr>
                <w:rFonts w:ascii="Times New Roman" w:hAnsi="Times New Roman" w:cs="Times New Roman"/>
              </w:rPr>
              <w:t xml:space="preserve">Wykształcenie, mentalność, </w:t>
            </w:r>
            <w:r w:rsidR="00C8122E" w:rsidRPr="00ED723A">
              <w:rPr>
                <w:rFonts w:ascii="Times New Roman" w:hAnsi="Times New Roman" w:cs="Times New Roman"/>
              </w:rPr>
              <w:t>status majątkowy</w:t>
            </w:r>
            <w:r>
              <w:rPr>
                <w:rFonts w:ascii="Times New Roman" w:hAnsi="Times New Roman" w:cs="Times New Roman"/>
              </w:rPr>
              <w:t xml:space="preserve"> uczestników</w:t>
            </w:r>
            <w:r w:rsidR="00C8122E" w:rsidRPr="00ED723A">
              <w:rPr>
                <w:rFonts w:ascii="Times New Roman" w:hAnsi="Times New Roman" w:cs="Times New Roman"/>
              </w:rPr>
              <w:t xml:space="preserve"> </w:t>
            </w:r>
          </w:p>
        </w:tc>
        <w:tc>
          <w:tcPr>
            <w:tcW w:w="5386" w:type="dxa"/>
          </w:tcPr>
          <w:p w:rsidR="00C8122E" w:rsidRPr="00ED723A" w:rsidRDefault="00C8122E" w:rsidP="002C1A79">
            <w:pPr>
              <w:jc w:val="both"/>
              <w:rPr>
                <w:rFonts w:ascii="Times New Roman" w:hAnsi="Times New Roman" w:cs="Times New Roman"/>
              </w:rPr>
            </w:pPr>
            <w:r w:rsidRPr="00ED723A">
              <w:rPr>
                <w:rFonts w:ascii="Times New Roman" w:hAnsi="Times New Roman" w:cs="Times New Roman"/>
              </w:rPr>
              <w:t>Uczestnicy o wyższym poziomie wykształcenia, byli bardziej otwarci na informacje – chętniej korzystali z Internetu, słuchali porad innych osób, szukali wiadomości w poradnikach i literaturze. Lepiej wykształceni uczestnicy mieli też stosunkowo korzystniejszą sytuację finansową w porównaniu do osób o niższym niż wyższe wykształceniu (osoby najczęściej nie pozostające w zatrudnieniu) bądź też łatwiej im było uzyskać dofinansowania różnego typu</w:t>
            </w:r>
          </w:p>
        </w:tc>
        <w:tc>
          <w:tcPr>
            <w:tcW w:w="4927" w:type="dxa"/>
          </w:tcPr>
          <w:p w:rsidR="00C8122E" w:rsidRPr="00ED723A" w:rsidRDefault="00C8122E" w:rsidP="00313777">
            <w:pPr>
              <w:jc w:val="both"/>
              <w:rPr>
                <w:rFonts w:ascii="Times New Roman" w:hAnsi="Times New Roman" w:cs="Times New Roman"/>
              </w:rPr>
            </w:pPr>
            <w:r w:rsidRPr="00ED723A">
              <w:rPr>
                <w:rFonts w:ascii="Times New Roman" w:hAnsi="Times New Roman" w:cs="Times New Roman"/>
              </w:rPr>
              <w:t xml:space="preserve">Aby zmaksymalizować </w:t>
            </w:r>
            <w:r w:rsidR="00313777">
              <w:rPr>
                <w:rFonts w:ascii="Times New Roman" w:hAnsi="Times New Roman" w:cs="Times New Roman"/>
              </w:rPr>
              <w:t>ryzyko niewłaściwej rekrutacji, odbiór i udział w projekcie powinien być unormowany regulaminem rekrutacji. N</w:t>
            </w:r>
            <w:r w:rsidRPr="00ED723A">
              <w:rPr>
                <w:rFonts w:ascii="Times New Roman" w:hAnsi="Times New Roman" w:cs="Times New Roman"/>
              </w:rPr>
              <w:t xml:space="preserve">ależy </w:t>
            </w:r>
            <w:r w:rsidR="00313777">
              <w:rPr>
                <w:rFonts w:ascii="Times New Roman" w:hAnsi="Times New Roman" w:cs="Times New Roman"/>
              </w:rPr>
              <w:t xml:space="preserve">również </w:t>
            </w:r>
            <w:r w:rsidRPr="00ED723A">
              <w:rPr>
                <w:rFonts w:ascii="Times New Roman" w:hAnsi="Times New Roman" w:cs="Times New Roman"/>
              </w:rPr>
              <w:t xml:space="preserve">zadbać, aby oferowane wsparcie było zindywidualizowane dostosowane do odbiorcy pod względem przystępności przekazu i </w:t>
            </w:r>
            <w:r w:rsidR="00313777">
              <w:rPr>
                <w:rFonts w:ascii="Times New Roman" w:hAnsi="Times New Roman" w:cs="Times New Roman"/>
              </w:rPr>
              <w:t>dostosowane do uczestników.</w:t>
            </w:r>
          </w:p>
        </w:tc>
      </w:tr>
      <w:tr w:rsidR="00CB5510" w:rsidRPr="00ED723A" w:rsidTr="00075D27">
        <w:tc>
          <w:tcPr>
            <w:tcW w:w="846" w:type="dxa"/>
          </w:tcPr>
          <w:p w:rsidR="00A72CBA" w:rsidRPr="00ED723A" w:rsidRDefault="00A72CBA" w:rsidP="00A72CBA">
            <w:pPr>
              <w:ind w:left="360"/>
              <w:jc w:val="both"/>
              <w:rPr>
                <w:rFonts w:ascii="Times New Roman" w:hAnsi="Times New Roman" w:cs="Times New Roman"/>
              </w:rPr>
            </w:pPr>
            <w:r w:rsidRPr="00ED723A">
              <w:rPr>
                <w:rFonts w:ascii="Times New Roman" w:hAnsi="Times New Roman" w:cs="Times New Roman"/>
              </w:rPr>
              <w:t>3.</w:t>
            </w:r>
          </w:p>
        </w:tc>
        <w:tc>
          <w:tcPr>
            <w:tcW w:w="2835" w:type="dxa"/>
          </w:tcPr>
          <w:p w:rsidR="00A72CBA" w:rsidRPr="00ED723A" w:rsidRDefault="00C12990" w:rsidP="00C12990">
            <w:pPr>
              <w:jc w:val="both"/>
              <w:rPr>
                <w:rFonts w:ascii="Times New Roman" w:hAnsi="Times New Roman" w:cs="Times New Roman"/>
              </w:rPr>
            </w:pPr>
            <w:r>
              <w:rPr>
                <w:rFonts w:ascii="Times New Roman" w:hAnsi="Times New Roman" w:cs="Times New Roman"/>
              </w:rPr>
              <w:t xml:space="preserve">Kryteria doboru personelu </w:t>
            </w:r>
          </w:p>
        </w:tc>
        <w:tc>
          <w:tcPr>
            <w:tcW w:w="5386" w:type="dxa"/>
          </w:tcPr>
          <w:p w:rsidR="00A72CBA" w:rsidRPr="00ED723A" w:rsidRDefault="00C12990" w:rsidP="00313777">
            <w:pPr>
              <w:jc w:val="both"/>
              <w:rPr>
                <w:rFonts w:ascii="Times New Roman" w:hAnsi="Times New Roman" w:cs="Times New Roman"/>
              </w:rPr>
            </w:pPr>
            <w:r>
              <w:rPr>
                <w:rFonts w:ascii="Times New Roman" w:hAnsi="Times New Roman" w:cs="Times New Roman"/>
              </w:rPr>
              <w:t>Innowacja „Mobilne Centru</w:t>
            </w:r>
            <w:r w:rsidR="0005335B">
              <w:rPr>
                <w:rFonts w:ascii="Times New Roman" w:hAnsi="Times New Roman" w:cs="Times New Roman"/>
              </w:rPr>
              <w:t>m</w:t>
            </w:r>
            <w:r>
              <w:rPr>
                <w:rFonts w:ascii="Times New Roman" w:hAnsi="Times New Roman" w:cs="Times New Roman"/>
              </w:rPr>
              <w:t xml:space="preserve"> Pomocy </w:t>
            </w:r>
            <w:r w:rsidR="0005335B">
              <w:rPr>
                <w:rFonts w:ascii="Times New Roman" w:hAnsi="Times New Roman" w:cs="Times New Roman"/>
              </w:rPr>
              <w:t>Dla Osób Starszych” cechuje czynni</w:t>
            </w:r>
            <w:r w:rsidR="00313777">
              <w:rPr>
                <w:rFonts w:ascii="Times New Roman" w:hAnsi="Times New Roman" w:cs="Times New Roman"/>
              </w:rPr>
              <w:t xml:space="preserve">k społeczny, jest metodą pracy z osobami starszymi na terenach wiejskich lub innych  z utrudnionym dostępem do większych ośrodków aglomeracyjnych lub z ograniczonym dostępem do specjalistycznego wsparcia. </w:t>
            </w:r>
            <w:r w:rsidR="0005335B">
              <w:rPr>
                <w:rFonts w:ascii="Times New Roman" w:hAnsi="Times New Roman" w:cs="Times New Roman"/>
              </w:rPr>
              <w:t xml:space="preserve"> Dlatego wskazane aby wszyscy zatrudnieni specjaliści cechowali się wrażliwości</w:t>
            </w:r>
            <w:r w:rsidR="007B1F18">
              <w:rPr>
                <w:rFonts w:ascii="Times New Roman" w:hAnsi="Times New Roman" w:cs="Times New Roman"/>
              </w:rPr>
              <w:t>ą</w:t>
            </w:r>
            <w:r w:rsidR="0005335B">
              <w:rPr>
                <w:rFonts w:ascii="Times New Roman" w:hAnsi="Times New Roman" w:cs="Times New Roman"/>
              </w:rPr>
              <w:t xml:space="preserve"> i empatią</w:t>
            </w:r>
          </w:p>
        </w:tc>
        <w:tc>
          <w:tcPr>
            <w:tcW w:w="4927" w:type="dxa"/>
          </w:tcPr>
          <w:p w:rsidR="00A72CBA" w:rsidRPr="00ED723A" w:rsidRDefault="00A72CBA" w:rsidP="002C1A79">
            <w:pPr>
              <w:jc w:val="both"/>
              <w:rPr>
                <w:rFonts w:ascii="Times New Roman" w:hAnsi="Times New Roman" w:cs="Times New Roman"/>
              </w:rPr>
            </w:pPr>
            <w:r w:rsidRPr="00ED723A">
              <w:rPr>
                <w:rFonts w:ascii="Times New Roman" w:hAnsi="Times New Roman" w:cs="Times New Roman"/>
              </w:rPr>
              <w:t>Wszyscy specjaliści zaangażowani w projekt powinni cechować się szczególną empatią i wyczuciem w stosunku do osób starszych. Wszyscy specjaliści powinni poniekąd być terapeutami</w:t>
            </w:r>
            <w:r w:rsidR="00313777">
              <w:rPr>
                <w:rFonts w:ascii="Times New Roman" w:hAnsi="Times New Roman" w:cs="Times New Roman"/>
              </w:rPr>
              <w:t>. Wskazane, aby specjaliści wykazali się odpowiednim wykształceniem i doświadczeniu na podobnych stanowiskach.</w:t>
            </w:r>
          </w:p>
        </w:tc>
      </w:tr>
      <w:tr w:rsidR="006F29B6" w:rsidRPr="00ED723A" w:rsidTr="00755667">
        <w:tc>
          <w:tcPr>
            <w:tcW w:w="13994" w:type="dxa"/>
            <w:gridSpan w:val="4"/>
          </w:tcPr>
          <w:p w:rsidR="006F29B6" w:rsidRPr="00ED723A" w:rsidRDefault="006F29B6" w:rsidP="00327829">
            <w:pPr>
              <w:pStyle w:val="Akapitzlist"/>
              <w:numPr>
                <w:ilvl w:val="0"/>
                <w:numId w:val="3"/>
              </w:numPr>
              <w:jc w:val="center"/>
              <w:rPr>
                <w:rFonts w:ascii="Times New Roman" w:hAnsi="Times New Roman" w:cs="Times New Roman"/>
                <w:b/>
                <w:sz w:val="28"/>
                <w:szCs w:val="28"/>
              </w:rPr>
            </w:pPr>
            <w:r w:rsidRPr="00ED723A">
              <w:rPr>
                <w:rFonts w:ascii="Times New Roman" w:hAnsi="Times New Roman" w:cs="Times New Roman"/>
                <w:b/>
                <w:sz w:val="28"/>
                <w:szCs w:val="28"/>
              </w:rPr>
              <w:t>Uwagi ogólne</w:t>
            </w:r>
          </w:p>
        </w:tc>
      </w:tr>
      <w:tr w:rsidR="0004720A" w:rsidRPr="00ED723A" w:rsidTr="00075D27">
        <w:tc>
          <w:tcPr>
            <w:tcW w:w="846" w:type="dxa"/>
          </w:tcPr>
          <w:p w:rsidR="0004720A" w:rsidRPr="00ED723A" w:rsidRDefault="0004720A" w:rsidP="00286B13">
            <w:pPr>
              <w:pStyle w:val="Akapitzlist"/>
              <w:numPr>
                <w:ilvl w:val="0"/>
                <w:numId w:val="11"/>
              </w:numPr>
              <w:jc w:val="both"/>
              <w:rPr>
                <w:rFonts w:ascii="Times New Roman" w:hAnsi="Times New Roman" w:cs="Times New Roman"/>
              </w:rPr>
            </w:pPr>
          </w:p>
        </w:tc>
        <w:tc>
          <w:tcPr>
            <w:tcW w:w="2835" w:type="dxa"/>
          </w:tcPr>
          <w:p w:rsidR="0004720A" w:rsidRPr="00ED723A" w:rsidRDefault="0004720A" w:rsidP="0004720A">
            <w:pPr>
              <w:jc w:val="both"/>
              <w:rPr>
                <w:rFonts w:ascii="Times New Roman" w:hAnsi="Times New Roman" w:cs="Times New Roman"/>
              </w:rPr>
            </w:pPr>
            <w:r>
              <w:rPr>
                <w:rFonts w:ascii="Times New Roman" w:hAnsi="Times New Roman" w:cs="Times New Roman"/>
              </w:rPr>
              <w:t>Skonsolidowana usługa</w:t>
            </w:r>
          </w:p>
        </w:tc>
        <w:tc>
          <w:tcPr>
            <w:tcW w:w="5386" w:type="dxa"/>
          </w:tcPr>
          <w:p w:rsidR="0004720A" w:rsidRPr="0004720A" w:rsidRDefault="0004720A" w:rsidP="0004720A">
            <w:pPr>
              <w:jc w:val="both"/>
              <w:rPr>
                <w:rFonts w:ascii="Times New Roman" w:hAnsi="Times New Roman" w:cs="Times New Roman"/>
              </w:rPr>
            </w:pPr>
            <w:r>
              <w:rPr>
                <w:rFonts w:ascii="Times New Roman" w:hAnsi="Times New Roman" w:cs="Times New Roman"/>
              </w:rPr>
              <w:t>Innowacja zakładała skonsolidowaną ofertę usługową</w:t>
            </w:r>
            <w:r w:rsidRPr="0004720A">
              <w:rPr>
                <w:rFonts w:ascii="Times New Roman" w:hAnsi="Times New Roman" w:cs="Times New Roman"/>
              </w:rPr>
              <w:t xml:space="preserve"> (sp</w:t>
            </w:r>
            <w:r>
              <w:rPr>
                <w:rFonts w:ascii="Times New Roman" w:hAnsi="Times New Roman" w:cs="Times New Roman"/>
              </w:rPr>
              <w:t>ecjaliści, narzędzia) opracowaną</w:t>
            </w:r>
            <w:r w:rsidRPr="0004720A">
              <w:rPr>
                <w:rFonts w:ascii="Times New Roman" w:hAnsi="Times New Roman" w:cs="Times New Roman"/>
              </w:rPr>
              <w:t xml:space="preserve"> indywidualnie dla konkretnego środowiska </w:t>
            </w:r>
            <w:r w:rsidRPr="0004720A">
              <w:rPr>
                <w:rFonts w:ascii="Times New Roman" w:hAnsi="Times New Roman" w:cs="Times New Roman"/>
              </w:rPr>
              <w:br/>
              <w:t>i obejmująca kilka obszarów wsparcia (prawne, finansowe, profilaktyki zdrowotnej – właściwej diety i bezpiecznej aktywności).</w:t>
            </w:r>
          </w:p>
          <w:p w:rsidR="0004720A" w:rsidRPr="0004720A" w:rsidRDefault="0004720A" w:rsidP="0004720A">
            <w:pPr>
              <w:jc w:val="both"/>
              <w:rPr>
                <w:rFonts w:ascii="Times New Roman" w:hAnsi="Times New Roman" w:cs="Times New Roman"/>
              </w:rPr>
            </w:pPr>
            <w:r w:rsidRPr="0004720A">
              <w:rPr>
                <w:rFonts w:ascii="Times New Roman" w:hAnsi="Times New Roman" w:cs="Times New Roman"/>
              </w:rPr>
              <w:lastRenderedPageBreak/>
              <w:t>Rozwiązanie oferuje nową jakość usług – indywidualnie dopasowaną do potrzeb osoby, „szytą na miarę” i odnoszącą się do osób, które mimo potrzeby wsparcia, nigdy z niego nie korzystały.</w:t>
            </w:r>
          </w:p>
          <w:p w:rsidR="0004720A" w:rsidRPr="00ED723A" w:rsidRDefault="0004720A" w:rsidP="0004720A">
            <w:pPr>
              <w:jc w:val="both"/>
              <w:rPr>
                <w:rFonts w:ascii="Times New Roman" w:hAnsi="Times New Roman" w:cs="Times New Roman"/>
              </w:rPr>
            </w:pPr>
          </w:p>
        </w:tc>
        <w:tc>
          <w:tcPr>
            <w:tcW w:w="4927" w:type="dxa"/>
          </w:tcPr>
          <w:p w:rsidR="0004720A" w:rsidRPr="00ED723A" w:rsidRDefault="00782D03" w:rsidP="00327829">
            <w:pPr>
              <w:jc w:val="both"/>
              <w:rPr>
                <w:rFonts w:ascii="Times New Roman" w:hAnsi="Times New Roman" w:cs="Times New Roman"/>
              </w:rPr>
            </w:pPr>
            <w:r>
              <w:rPr>
                <w:rFonts w:ascii="Times New Roman" w:hAnsi="Times New Roman" w:cs="Times New Roman"/>
              </w:rPr>
              <w:lastRenderedPageBreak/>
              <w:t xml:space="preserve">Dobór specjalistów jest dowolny, zależeć może jedynie od dostępności odpowiedniego personelu lub indywidualnego zapotrzebowania uczestników (zapotrzebowanie wynikające z diagnozy początkowej uczestników). </w:t>
            </w:r>
          </w:p>
        </w:tc>
      </w:tr>
      <w:tr w:rsidR="00CB5510" w:rsidRPr="00ED723A" w:rsidTr="00075D27">
        <w:tc>
          <w:tcPr>
            <w:tcW w:w="846" w:type="dxa"/>
          </w:tcPr>
          <w:p w:rsidR="006F29B6" w:rsidRPr="00ED723A" w:rsidRDefault="006F29B6" w:rsidP="00286B13">
            <w:pPr>
              <w:pStyle w:val="Akapitzlist"/>
              <w:numPr>
                <w:ilvl w:val="0"/>
                <w:numId w:val="11"/>
              </w:numPr>
              <w:jc w:val="both"/>
              <w:rPr>
                <w:rFonts w:ascii="Times New Roman" w:hAnsi="Times New Roman" w:cs="Times New Roman"/>
              </w:rPr>
            </w:pPr>
          </w:p>
        </w:tc>
        <w:tc>
          <w:tcPr>
            <w:tcW w:w="2835" w:type="dxa"/>
          </w:tcPr>
          <w:p w:rsidR="006F29B6" w:rsidRPr="00ED723A" w:rsidRDefault="00157338" w:rsidP="00B02171">
            <w:pPr>
              <w:jc w:val="both"/>
              <w:rPr>
                <w:rFonts w:ascii="Times New Roman" w:hAnsi="Times New Roman" w:cs="Times New Roman"/>
              </w:rPr>
            </w:pPr>
            <w:r w:rsidRPr="00ED723A">
              <w:rPr>
                <w:rFonts w:ascii="Times New Roman" w:hAnsi="Times New Roman" w:cs="Times New Roman"/>
              </w:rPr>
              <w:t>Mobilność wsparcia, usługi w miejscu zamieszkania uczestnika</w:t>
            </w:r>
          </w:p>
        </w:tc>
        <w:tc>
          <w:tcPr>
            <w:tcW w:w="5386" w:type="dxa"/>
          </w:tcPr>
          <w:p w:rsidR="006F29B6" w:rsidRPr="00ED723A" w:rsidRDefault="002615DF" w:rsidP="00327829">
            <w:pPr>
              <w:jc w:val="both"/>
              <w:rPr>
                <w:rFonts w:ascii="Times New Roman" w:hAnsi="Times New Roman" w:cs="Times New Roman"/>
              </w:rPr>
            </w:pPr>
            <w:r w:rsidRPr="00ED723A">
              <w:rPr>
                <w:rFonts w:ascii="Times New Roman" w:hAnsi="Times New Roman" w:cs="Times New Roman"/>
              </w:rPr>
              <w:t>Założeniem IS naszego pomysłu jest mobilność wsparcia, wsparcie odbywało się w miejscu zamieszkania uczestnika.</w:t>
            </w:r>
            <w:r w:rsidR="00313777">
              <w:rPr>
                <w:rFonts w:ascii="Times New Roman" w:hAnsi="Times New Roman" w:cs="Times New Roman"/>
              </w:rPr>
              <w:t xml:space="preserve"> Wsparcie tego typu daje szansę</w:t>
            </w:r>
            <w:r w:rsidR="00327829" w:rsidRPr="00ED723A">
              <w:rPr>
                <w:rFonts w:ascii="Times New Roman" w:hAnsi="Times New Roman" w:cs="Times New Roman"/>
              </w:rPr>
              <w:t xml:space="preserve"> skorzystania z różnych form aktywizacji przez osoby, które do tej pory nie mogły z nich skorzystać ze różnych względów, a przede wszystkim utrudnień komunikacyjnych i znacznego oddalenia od centów miejscowości.</w:t>
            </w:r>
            <w:r w:rsidRPr="00ED723A">
              <w:rPr>
                <w:rFonts w:ascii="Times New Roman" w:hAnsi="Times New Roman" w:cs="Times New Roman"/>
              </w:rPr>
              <w:t xml:space="preserve"> </w:t>
            </w:r>
            <w:r w:rsidR="00B02171" w:rsidRPr="00ED723A">
              <w:rPr>
                <w:rFonts w:ascii="Times New Roman" w:hAnsi="Times New Roman" w:cs="Times New Roman"/>
              </w:rPr>
              <w:t xml:space="preserve">Większość uczestników w początkowej fazie testowania odczuwała zauważalny dyskomfort związany z faktem udzielanego wsparcia w miejscu </w:t>
            </w:r>
            <w:r w:rsidR="00327829" w:rsidRPr="00ED723A">
              <w:rPr>
                <w:rFonts w:ascii="Times New Roman" w:hAnsi="Times New Roman" w:cs="Times New Roman"/>
              </w:rPr>
              <w:t>jego zamieszkania.</w:t>
            </w:r>
            <w:r w:rsidR="00B02171" w:rsidRPr="00ED723A">
              <w:rPr>
                <w:rFonts w:ascii="Times New Roman" w:hAnsi="Times New Roman" w:cs="Times New Roman"/>
              </w:rPr>
              <w:t xml:space="preserve"> </w:t>
            </w:r>
            <w:r w:rsidR="006F29B6" w:rsidRPr="00ED723A">
              <w:rPr>
                <w:rFonts w:ascii="Times New Roman" w:hAnsi="Times New Roman" w:cs="Times New Roman"/>
              </w:rPr>
              <w:t>Wsparcie udzielane w domu uczestnika związane jest ze zwiększoną mobilizacją oraz zakłóceniem bezpieczeństwa. Dodatkowo osoby starsze obdarzone są większym lękiem i brakiem zaufania.</w:t>
            </w:r>
          </w:p>
        </w:tc>
        <w:tc>
          <w:tcPr>
            <w:tcW w:w="4927" w:type="dxa"/>
          </w:tcPr>
          <w:p w:rsidR="006F29B6" w:rsidRPr="00ED723A" w:rsidRDefault="00327829" w:rsidP="00327829">
            <w:pPr>
              <w:jc w:val="both"/>
              <w:rPr>
                <w:rFonts w:ascii="Times New Roman" w:hAnsi="Times New Roman" w:cs="Times New Roman"/>
              </w:rPr>
            </w:pPr>
            <w:r w:rsidRPr="00ED723A">
              <w:rPr>
                <w:rFonts w:ascii="Times New Roman" w:hAnsi="Times New Roman" w:cs="Times New Roman"/>
              </w:rPr>
              <w:t>Aby zminimalizować obawy i zakłócenie strefy prywatnej seniora w</w:t>
            </w:r>
            <w:r w:rsidR="006F29B6" w:rsidRPr="00ED723A">
              <w:rPr>
                <w:rFonts w:ascii="Times New Roman" w:hAnsi="Times New Roman" w:cs="Times New Roman"/>
              </w:rPr>
              <w:t>skazane jest wprowadzenie każdego obcego specjalistę przez osobę znajomą dla uczestników. Dodatkowo wcześniejsze planowanie i informowanie o grafiku pracy specjalistów</w:t>
            </w:r>
            <w:r w:rsidRPr="00ED723A">
              <w:rPr>
                <w:rFonts w:ascii="Times New Roman" w:hAnsi="Times New Roman" w:cs="Times New Roman"/>
              </w:rPr>
              <w:t>. Działania takie</w:t>
            </w:r>
            <w:r w:rsidR="006F29B6" w:rsidRPr="00ED723A">
              <w:rPr>
                <w:rFonts w:ascii="Times New Roman" w:hAnsi="Times New Roman" w:cs="Times New Roman"/>
              </w:rPr>
              <w:t xml:space="preserve"> </w:t>
            </w:r>
            <w:r w:rsidRPr="00ED723A">
              <w:rPr>
                <w:rFonts w:ascii="Times New Roman" w:hAnsi="Times New Roman" w:cs="Times New Roman"/>
              </w:rPr>
              <w:t>w znacznym stopniu zminimalizują</w:t>
            </w:r>
            <w:r w:rsidR="006F29B6" w:rsidRPr="00ED723A">
              <w:rPr>
                <w:rFonts w:ascii="Times New Roman" w:hAnsi="Times New Roman" w:cs="Times New Roman"/>
              </w:rPr>
              <w:t xml:space="preserve"> ewentualne obawy i strach przed nieznanym.</w:t>
            </w:r>
          </w:p>
        </w:tc>
      </w:tr>
      <w:tr w:rsidR="00CB5510" w:rsidRPr="00ED723A" w:rsidTr="00075D27">
        <w:tc>
          <w:tcPr>
            <w:tcW w:w="846" w:type="dxa"/>
          </w:tcPr>
          <w:p w:rsidR="00B02171" w:rsidRPr="00313777" w:rsidRDefault="00B02171" w:rsidP="00313777">
            <w:pPr>
              <w:pStyle w:val="Akapitzlist"/>
              <w:numPr>
                <w:ilvl w:val="0"/>
                <w:numId w:val="11"/>
              </w:numPr>
              <w:jc w:val="both"/>
              <w:rPr>
                <w:rFonts w:ascii="Times New Roman" w:hAnsi="Times New Roman" w:cs="Times New Roman"/>
              </w:rPr>
            </w:pPr>
          </w:p>
        </w:tc>
        <w:tc>
          <w:tcPr>
            <w:tcW w:w="2835" w:type="dxa"/>
          </w:tcPr>
          <w:p w:rsidR="00B02171" w:rsidRPr="00ED723A" w:rsidRDefault="00B02171" w:rsidP="00B02171">
            <w:pPr>
              <w:jc w:val="both"/>
              <w:rPr>
                <w:rFonts w:ascii="Times New Roman" w:hAnsi="Times New Roman" w:cs="Times New Roman"/>
              </w:rPr>
            </w:pPr>
            <w:r w:rsidRPr="00ED723A">
              <w:rPr>
                <w:rFonts w:ascii="Times New Roman" w:hAnsi="Times New Roman" w:cs="Times New Roman"/>
              </w:rPr>
              <w:t>Wizyty adaptacyjne</w:t>
            </w:r>
          </w:p>
        </w:tc>
        <w:tc>
          <w:tcPr>
            <w:tcW w:w="5386" w:type="dxa"/>
          </w:tcPr>
          <w:p w:rsidR="00B02171" w:rsidRPr="00ED723A" w:rsidRDefault="004E6A60" w:rsidP="00313777">
            <w:pPr>
              <w:jc w:val="both"/>
              <w:rPr>
                <w:rFonts w:ascii="Times New Roman" w:hAnsi="Times New Roman" w:cs="Times New Roman"/>
              </w:rPr>
            </w:pPr>
            <w:r w:rsidRPr="00ED723A">
              <w:rPr>
                <w:rFonts w:ascii="Times New Roman" w:hAnsi="Times New Roman" w:cs="Times New Roman"/>
              </w:rPr>
              <w:t>Testowanie Innowacji rozpocz</w:t>
            </w:r>
            <w:r w:rsidR="006A0DE6" w:rsidRPr="00ED723A">
              <w:rPr>
                <w:rFonts w:ascii="Times New Roman" w:hAnsi="Times New Roman" w:cs="Times New Roman"/>
              </w:rPr>
              <w:t>y</w:t>
            </w:r>
            <w:r w:rsidRPr="00ED723A">
              <w:rPr>
                <w:rFonts w:ascii="Times New Roman" w:hAnsi="Times New Roman" w:cs="Times New Roman"/>
              </w:rPr>
              <w:t>n</w:t>
            </w:r>
            <w:r w:rsidR="006A0DE6" w:rsidRPr="00ED723A">
              <w:rPr>
                <w:rFonts w:ascii="Times New Roman" w:hAnsi="Times New Roman" w:cs="Times New Roman"/>
              </w:rPr>
              <w:t>a</w:t>
            </w:r>
            <w:r w:rsidRPr="00ED723A">
              <w:rPr>
                <w:rFonts w:ascii="Times New Roman" w:hAnsi="Times New Roman" w:cs="Times New Roman"/>
              </w:rPr>
              <w:t xml:space="preserve"> się od przeprowadzenia wizyt adaptacyjnych, których celem jest przygotowanie osoby starszej</w:t>
            </w:r>
            <w:r w:rsidR="006A0DE6" w:rsidRPr="00ED723A">
              <w:rPr>
                <w:rFonts w:ascii="Times New Roman" w:hAnsi="Times New Roman" w:cs="Times New Roman"/>
              </w:rPr>
              <w:t xml:space="preserve"> do odbioru zaproponowanego wsparcia.</w:t>
            </w:r>
            <w:r w:rsidRPr="00ED723A">
              <w:rPr>
                <w:rFonts w:ascii="Times New Roman" w:hAnsi="Times New Roman" w:cs="Times New Roman"/>
              </w:rPr>
              <w:t xml:space="preserve"> </w:t>
            </w:r>
            <w:r w:rsidR="00313777">
              <w:rPr>
                <w:rFonts w:ascii="Times New Roman" w:hAnsi="Times New Roman" w:cs="Times New Roman"/>
              </w:rPr>
              <w:t xml:space="preserve">Z uwagi na fakt, </w:t>
            </w:r>
            <w:r w:rsidR="006A0DE6" w:rsidRPr="00ED723A">
              <w:rPr>
                <w:rFonts w:ascii="Times New Roman" w:hAnsi="Times New Roman" w:cs="Times New Roman"/>
              </w:rPr>
              <w:t>iż wsparcie ma być udzielane w miejscu zamieszkania uczestnika, miejscu prywatnym i b</w:t>
            </w:r>
            <w:r w:rsidRPr="00ED723A">
              <w:rPr>
                <w:rFonts w:ascii="Times New Roman" w:hAnsi="Times New Roman" w:cs="Times New Roman"/>
              </w:rPr>
              <w:t>iorąc pod uwagę trudności mogące wiązać się z przekonaniem seniorów do przyjęcia</w:t>
            </w:r>
            <w:r w:rsidR="006A0DE6" w:rsidRPr="00ED723A">
              <w:rPr>
                <w:rFonts w:ascii="Times New Roman" w:hAnsi="Times New Roman" w:cs="Times New Roman"/>
              </w:rPr>
              <w:t xml:space="preserve"> pomocy i udz</w:t>
            </w:r>
            <w:r w:rsidR="00313777">
              <w:rPr>
                <w:rFonts w:ascii="Times New Roman" w:hAnsi="Times New Roman" w:cs="Times New Roman"/>
              </w:rPr>
              <w:t>iału w testowaniu Stowarzyszenie</w:t>
            </w:r>
            <w:r w:rsidR="00313777" w:rsidRPr="00056310">
              <w:rPr>
                <w:sz w:val="20"/>
                <w:szCs w:val="20"/>
              </w:rPr>
              <w:t xml:space="preserve"> </w:t>
            </w:r>
            <w:r w:rsidR="00313777" w:rsidRPr="00313777">
              <w:rPr>
                <w:rFonts w:ascii="Times New Roman" w:hAnsi="Times New Roman" w:cs="Times New Roman"/>
              </w:rPr>
              <w:t xml:space="preserve">zdecydowało się wykorzystać wolontariat senioralny i zaangażować  osoby starsze z terenu naszej </w:t>
            </w:r>
            <w:r w:rsidR="00313777">
              <w:rPr>
                <w:rFonts w:ascii="Times New Roman" w:hAnsi="Times New Roman" w:cs="Times New Roman"/>
              </w:rPr>
              <w:t>gminy</w:t>
            </w:r>
            <w:r w:rsidR="00313777" w:rsidRPr="00313777">
              <w:rPr>
                <w:rFonts w:ascii="Times New Roman" w:hAnsi="Times New Roman" w:cs="Times New Roman"/>
              </w:rPr>
              <w:t>.</w:t>
            </w:r>
            <w:r w:rsidR="00313777">
              <w:rPr>
                <w:rFonts w:ascii="Times New Roman" w:hAnsi="Times New Roman" w:cs="Times New Roman"/>
              </w:rPr>
              <w:t xml:space="preserve"> W</w:t>
            </w:r>
            <w:r w:rsidR="006A0DE6" w:rsidRPr="00ED723A">
              <w:rPr>
                <w:rFonts w:ascii="Times New Roman" w:hAnsi="Times New Roman" w:cs="Times New Roman"/>
              </w:rPr>
              <w:t xml:space="preserve">izyty adaptacyjne są niezbędnym elementem weryfikującym udział potencjalnego seniora w proponowanej IS. </w:t>
            </w:r>
          </w:p>
        </w:tc>
        <w:tc>
          <w:tcPr>
            <w:tcW w:w="4927" w:type="dxa"/>
          </w:tcPr>
          <w:p w:rsidR="00B02171" w:rsidRPr="00ED723A" w:rsidRDefault="006A0DE6" w:rsidP="006A0DE6">
            <w:pPr>
              <w:jc w:val="both"/>
              <w:rPr>
                <w:rFonts w:ascii="Times New Roman" w:hAnsi="Times New Roman" w:cs="Times New Roman"/>
              </w:rPr>
            </w:pPr>
            <w:r w:rsidRPr="00ED723A">
              <w:rPr>
                <w:rFonts w:ascii="Times New Roman" w:hAnsi="Times New Roman" w:cs="Times New Roman"/>
              </w:rPr>
              <w:t>Do sprawnego i efektywnego przebiegu wizyt adaptacyjnych rekomendujemy wykorzystać wolontariat senioralny i zaangażować  osoby starsze z terenu bliskiego dla potencjalnych uczestników. Seniorzy - wolontariusze, którzy na co dzień współpracują z różnymi organizacjami w celu aktywizacji swoich kolegów i koleżanek w znacznym stopniu zminimalizują ujemne skutki wizyt w prywatnych domach.  Wizyty te wprowadzą uczestników, wyjaśniając i informując na czym polega proponowana forma wsparcia, przedstawią z jakich usług w jej ramach będą mogli korzystać i uszczegółowią jak będzie przebiegał cały proces testowania</w:t>
            </w:r>
          </w:p>
        </w:tc>
      </w:tr>
      <w:tr w:rsidR="00CB5510" w:rsidRPr="00ED723A" w:rsidTr="00075D27">
        <w:tc>
          <w:tcPr>
            <w:tcW w:w="846" w:type="dxa"/>
          </w:tcPr>
          <w:p w:rsidR="00B02171" w:rsidRPr="00ED723A" w:rsidRDefault="00B02171" w:rsidP="006F29B6">
            <w:pPr>
              <w:pStyle w:val="Akapitzlist"/>
              <w:numPr>
                <w:ilvl w:val="0"/>
                <w:numId w:val="9"/>
              </w:numPr>
              <w:jc w:val="both"/>
              <w:rPr>
                <w:rFonts w:ascii="Times New Roman" w:hAnsi="Times New Roman" w:cs="Times New Roman"/>
              </w:rPr>
            </w:pPr>
          </w:p>
        </w:tc>
        <w:tc>
          <w:tcPr>
            <w:tcW w:w="2835" w:type="dxa"/>
          </w:tcPr>
          <w:p w:rsidR="00B02171" w:rsidRPr="00ED723A" w:rsidRDefault="00B02171" w:rsidP="00B02171">
            <w:pPr>
              <w:jc w:val="both"/>
              <w:rPr>
                <w:rFonts w:ascii="Times New Roman" w:hAnsi="Times New Roman" w:cs="Times New Roman"/>
              </w:rPr>
            </w:pPr>
            <w:r w:rsidRPr="00ED723A">
              <w:rPr>
                <w:rFonts w:ascii="Times New Roman" w:hAnsi="Times New Roman" w:cs="Times New Roman"/>
              </w:rPr>
              <w:t>Grafik wsparcia</w:t>
            </w:r>
          </w:p>
        </w:tc>
        <w:tc>
          <w:tcPr>
            <w:tcW w:w="5386" w:type="dxa"/>
          </w:tcPr>
          <w:p w:rsidR="00B5104B" w:rsidRPr="00ED723A" w:rsidRDefault="00B5104B" w:rsidP="008239F6">
            <w:pPr>
              <w:jc w:val="both"/>
              <w:rPr>
                <w:rFonts w:ascii="Times New Roman" w:hAnsi="Times New Roman" w:cs="Times New Roman"/>
              </w:rPr>
            </w:pPr>
            <w:r w:rsidRPr="00ED723A">
              <w:rPr>
                <w:rFonts w:ascii="Times New Roman" w:hAnsi="Times New Roman" w:cs="Times New Roman"/>
              </w:rPr>
              <w:t xml:space="preserve">Powodzenie i osiągnięcie planowanego efektu w znacznym stopniu zależy od właściwego planowania proponowanego </w:t>
            </w:r>
            <w:r w:rsidRPr="00ED723A">
              <w:rPr>
                <w:rFonts w:ascii="Times New Roman" w:hAnsi="Times New Roman" w:cs="Times New Roman"/>
              </w:rPr>
              <w:lastRenderedPageBreak/>
              <w:t xml:space="preserve">wsparcia. </w:t>
            </w:r>
            <w:r w:rsidR="004E6A60" w:rsidRPr="00ED723A">
              <w:rPr>
                <w:rFonts w:ascii="Times New Roman" w:hAnsi="Times New Roman" w:cs="Times New Roman"/>
              </w:rPr>
              <w:t xml:space="preserve">W innowacji naszego pomysłu grafik stanowi bardzo istotny element, właściwy przebieg całego projektu w znacznym stopniu zależy od  </w:t>
            </w:r>
            <w:r w:rsidR="00313777">
              <w:rPr>
                <w:rFonts w:ascii="Times New Roman" w:hAnsi="Times New Roman" w:cs="Times New Roman"/>
              </w:rPr>
              <w:t xml:space="preserve"> </w:t>
            </w:r>
            <w:r w:rsidR="008239F6">
              <w:rPr>
                <w:rFonts w:ascii="Times New Roman" w:hAnsi="Times New Roman" w:cs="Times New Roman"/>
              </w:rPr>
              <w:t xml:space="preserve">trafności i rzetelności tego działania. </w:t>
            </w:r>
            <w:r w:rsidRPr="00ED723A">
              <w:rPr>
                <w:rFonts w:ascii="Times New Roman" w:hAnsi="Times New Roman" w:cs="Times New Roman"/>
              </w:rPr>
              <w:t>Z naszego doświadczenia wynika, iż wszelkie propozycje wsparcia oferowane o okresach przedświątecznych może okazać się nieskuteczne. na</w:t>
            </w:r>
            <w:r w:rsidR="00823817" w:rsidRPr="00ED723A">
              <w:rPr>
                <w:rFonts w:ascii="Times New Roman" w:hAnsi="Times New Roman" w:cs="Times New Roman"/>
              </w:rPr>
              <w:t xml:space="preserve"> Za grafik/harmonogram odpowiadał Specjalista ds. IPD.</w:t>
            </w:r>
          </w:p>
        </w:tc>
        <w:tc>
          <w:tcPr>
            <w:tcW w:w="4927" w:type="dxa"/>
          </w:tcPr>
          <w:p w:rsidR="00B02171" w:rsidRPr="00ED723A" w:rsidRDefault="00B5104B" w:rsidP="006F29B6">
            <w:pPr>
              <w:jc w:val="both"/>
              <w:rPr>
                <w:rFonts w:ascii="Times New Roman" w:hAnsi="Times New Roman" w:cs="Times New Roman"/>
              </w:rPr>
            </w:pPr>
            <w:r w:rsidRPr="00ED723A">
              <w:rPr>
                <w:rFonts w:ascii="Times New Roman" w:hAnsi="Times New Roman" w:cs="Times New Roman"/>
              </w:rPr>
              <w:lastRenderedPageBreak/>
              <w:t xml:space="preserve">Rekomendujemy, aby grafikiem i związane z tym kontakty z uczestnikami i specjalistami prowadzone </w:t>
            </w:r>
            <w:r w:rsidRPr="00ED723A">
              <w:rPr>
                <w:rFonts w:ascii="Times New Roman" w:hAnsi="Times New Roman" w:cs="Times New Roman"/>
              </w:rPr>
              <w:lastRenderedPageBreak/>
              <w:t xml:space="preserve">były przez jedną osobę. Dodatkowo należy zadbać o  zindywidualizowane dopasowanie do preferencji czasowych uczestników przy równoczesnym zadbaniu o dyspozycyjność czasową zaangażowanych specjalistów. Układając harmonogram wsparcia należy wykazać się szczególną empatią w okresach niedyspozycyjności, spadku motywacji, innej aktywności seniora (np. wizyt u lekarza) lub okresie </w:t>
            </w:r>
            <w:r w:rsidR="006174EA" w:rsidRPr="00ED723A">
              <w:rPr>
                <w:rFonts w:ascii="Times New Roman" w:hAnsi="Times New Roman" w:cs="Times New Roman"/>
              </w:rPr>
              <w:t>przedświątecznym</w:t>
            </w:r>
            <w:r w:rsidRPr="00ED723A">
              <w:rPr>
                <w:rFonts w:ascii="Times New Roman" w:hAnsi="Times New Roman" w:cs="Times New Roman"/>
              </w:rPr>
              <w:t>.</w:t>
            </w:r>
          </w:p>
        </w:tc>
      </w:tr>
      <w:tr w:rsidR="00CB5510" w:rsidRPr="00ED723A" w:rsidTr="00075D27">
        <w:tc>
          <w:tcPr>
            <w:tcW w:w="846" w:type="dxa"/>
          </w:tcPr>
          <w:p w:rsidR="00B02171" w:rsidRPr="00ED723A" w:rsidRDefault="00B02171" w:rsidP="006F29B6">
            <w:pPr>
              <w:pStyle w:val="Akapitzlist"/>
              <w:numPr>
                <w:ilvl w:val="0"/>
                <w:numId w:val="9"/>
              </w:numPr>
              <w:jc w:val="both"/>
              <w:rPr>
                <w:rFonts w:ascii="Times New Roman" w:hAnsi="Times New Roman" w:cs="Times New Roman"/>
              </w:rPr>
            </w:pPr>
          </w:p>
        </w:tc>
        <w:tc>
          <w:tcPr>
            <w:tcW w:w="2835" w:type="dxa"/>
          </w:tcPr>
          <w:p w:rsidR="00B02171" w:rsidRPr="00ED723A" w:rsidRDefault="00B02171" w:rsidP="00B02171">
            <w:pPr>
              <w:jc w:val="both"/>
              <w:rPr>
                <w:rFonts w:ascii="Times New Roman" w:hAnsi="Times New Roman" w:cs="Times New Roman"/>
              </w:rPr>
            </w:pPr>
            <w:r w:rsidRPr="00ED723A">
              <w:rPr>
                <w:rFonts w:ascii="Times New Roman" w:hAnsi="Times New Roman" w:cs="Times New Roman"/>
              </w:rPr>
              <w:t>Diagnoza wstępna</w:t>
            </w:r>
          </w:p>
        </w:tc>
        <w:tc>
          <w:tcPr>
            <w:tcW w:w="5386" w:type="dxa"/>
          </w:tcPr>
          <w:p w:rsidR="00B02171" w:rsidRPr="00ED723A" w:rsidRDefault="004E6A60" w:rsidP="008239F6">
            <w:pPr>
              <w:jc w:val="both"/>
              <w:rPr>
                <w:rFonts w:ascii="Times New Roman" w:hAnsi="Times New Roman" w:cs="Times New Roman"/>
              </w:rPr>
            </w:pPr>
            <w:r w:rsidRPr="00ED723A">
              <w:rPr>
                <w:rFonts w:ascii="Times New Roman" w:hAnsi="Times New Roman" w:cs="Times New Roman"/>
              </w:rPr>
              <w:t>Po wizytach adaptacyjnych zosta</w:t>
            </w:r>
            <w:r w:rsidR="008239F6">
              <w:rPr>
                <w:rFonts w:ascii="Times New Roman" w:hAnsi="Times New Roman" w:cs="Times New Roman"/>
              </w:rPr>
              <w:t>ły</w:t>
            </w:r>
            <w:r w:rsidRPr="00ED723A">
              <w:rPr>
                <w:rFonts w:ascii="Times New Roman" w:hAnsi="Times New Roman" w:cs="Times New Roman"/>
              </w:rPr>
              <w:t xml:space="preserve"> przeprowadzone  Indywidualne diagnozy, które przeprowadzi</w:t>
            </w:r>
            <w:r w:rsidR="008239F6">
              <w:rPr>
                <w:rFonts w:ascii="Times New Roman" w:hAnsi="Times New Roman" w:cs="Times New Roman"/>
              </w:rPr>
              <w:t>li</w:t>
            </w:r>
            <w:r w:rsidRPr="00ED723A">
              <w:rPr>
                <w:rFonts w:ascii="Times New Roman" w:hAnsi="Times New Roman" w:cs="Times New Roman"/>
              </w:rPr>
              <w:t xml:space="preserve">  </w:t>
            </w:r>
            <w:r w:rsidR="008239F6" w:rsidRPr="00ED723A">
              <w:rPr>
                <w:rFonts w:ascii="Times New Roman" w:hAnsi="Times New Roman" w:cs="Times New Roman"/>
              </w:rPr>
              <w:t>specjaliś</w:t>
            </w:r>
            <w:r w:rsidR="008239F6">
              <w:rPr>
                <w:rFonts w:ascii="Times New Roman" w:hAnsi="Times New Roman" w:cs="Times New Roman"/>
              </w:rPr>
              <w:t>ci</w:t>
            </w:r>
            <w:r w:rsidRPr="00ED723A">
              <w:rPr>
                <w:rFonts w:ascii="Times New Roman" w:hAnsi="Times New Roman" w:cs="Times New Roman"/>
              </w:rPr>
              <w:t xml:space="preserve"> w swoim obszarze działania, bezpośrednio z osobą zależną, w miejscu jej zamieszkania. Oznacza to, że każda z osób biorących udział w testowaniu  odbędzie 6 h – spotkań diagnostycznych, po jednej z każdym specjalistą. Diagnoza pozwoli</w:t>
            </w:r>
            <w:r w:rsidR="008239F6">
              <w:rPr>
                <w:rFonts w:ascii="Times New Roman" w:hAnsi="Times New Roman" w:cs="Times New Roman"/>
              </w:rPr>
              <w:t>ła</w:t>
            </w:r>
            <w:r w:rsidRPr="00ED723A">
              <w:rPr>
                <w:rFonts w:ascii="Times New Roman" w:hAnsi="Times New Roman" w:cs="Times New Roman"/>
              </w:rPr>
              <w:t xml:space="preserve"> opracować plan działania dla każdej z osób w poszczególnych obszarach, uwzględniając jej indywidualną sytuację i potrzeby.  Sporządzone diagnozy będą punktem wyjścia do opracowania Indywidualnego Planu Działania, wg którego realizowane będzie indywidualne wsparcie</w:t>
            </w:r>
          </w:p>
        </w:tc>
        <w:tc>
          <w:tcPr>
            <w:tcW w:w="4927" w:type="dxa"/>
          </w:tcPr>
          <w:p w:rsidR="00B02171" w:rsidRPr="00ED723A" w:rsidRDefault="008239F6" w:rsidP="006F29B6">
            <w:pPr>
              <w:jc w:val="both"/>
              <w:rPr>
                <w:rFonts w:ascii="Times New Roman" w:hAnsi="Times New Roman" w:cs="Times New Roman"/>
              </w:rPr>
            </w:pPr>
            <w:r>
              <w:rPr>
                <w:rFonts w:ascii="Times New Roman" w:hAnsi="Times New Roman" w:cs="Times New Roman"/>
              </w:rPr>
              <w:t>Niezbędny element całego projektu. Do przeprowadzenia diagnozy proponujemy arkusze diagnoz opracowane dla każdego specjalisty. Arkusze zostały dołączone w formie załącznika do Modelu Koncepcji.</w:t>
            </w:r>
          </w:p>
        </w:tc>
      </w:tr>
      <w:tr w:rsidR="00CB5510" w:rsidRPr="00ED723A" w:rsidTr="00075D27">
        <w:tc>
          <w:tcPr>
            <w:tcW w:w="846" w:type="dxa"/>
          </w:tcPr>
          <w:p w:rsidR="006F29B6" w:rsidRPr="00ED723A" w:rsidRDefault="006F29B6" w:rsidP="006F29B6">
            <w:pPr>
              <w:pStyle w:val="Akapitzlist"/>
              <w:numPr>
                <w:ilvl w:val="0"/>
                <w:numId w:val="9"/>
              </w:numPr>
              <w:jc w:val="both"/>
              <w:rPr>
                <w:rFonts w:ascii="Times New Roman" w:hAnsi="Times New Roman" w:cs="Times New Roman"/>
              </w:rPr>
            </w:pPr>
          </w:p>
        </w:tc>
        <w:tc>
          <w:tcPr>
            <w:tcW w:w="2835" w:type="dxa"/>
          </w:tcPr>
          <w:p w:rsidR="006F29B6" w:rsidRPr="00ED723A" w:rsidRDefault="006F29B6" w:rsidP="00C61179">
            <w:pPr>
              <w:jc w:val="both"/>
              <w:rPr>
                <w:rFonts w:ascii="Times New Roman" w:hAnsi="Times New Roman" w:cs="Times New Roman"/>
              </w:rPr>
            </w:pPr>
            <w:r w:rsidRPr="00ED723A">
              <w:rPr>
                <w:rFonts w:ascii="Times New Roman" w:hAnsi="Times New Roman" w:cs="Times New Roman"/>
              </w:rPr>
              <w:t>Dokumenty</w:t>
            </w:r>
            <w:r w:rsidR="00A72CBA" w:rsidRPr="00ED723A">
              <w:rPr>
                <w:rFonts w:ascii="Times New Roman" w:hAnsi="Times New Roman" w:cs="Times New Roman"/>
              </w:rPr>
              <w:t xml:space="preserve"> </w:t>
            </w:r>
          </w:p>
        </w:tc>
        <w:tc>
          <w:tcPr>
            <w:tcW w:w="5386" w:type="dxa"/>
          </w:tcPr>
          <w:p w:rsidR="006F29B6" w:rsidRPr="00ED723A" w:rsidRDefault="00A72CBA" w:rsidP="00D746C0">
            <w:pPr>
              <w:jc w:val="both"/>
              <w:rPr>
                <w:rFonts w:ascii="Times New Roman" w:hAnsi="Times New Roman" w:cs="Times New Roman"/>
              </w:rPr>
            </w:pPr>
            <w:r w:rsidRPr="00ED723A">
              <w:rPr>
                <w:rFonts w:ascii="Times New Roman" w:hAnsi="Times New Roman" w:cs="Times New Roman"/>
              </w:rPr>
              <w:t>Projekt naszego pomysłu nastawiony jest przede wszystkim na indywidualną pracę z ucze</w:t>
            </w:r>
            <w:r w:rsidR="00C61179">
              <w:rPr>
                <w:rFonts w:ascii="Times New Roman" w:hAnsi="Times New Roman" w:cs="Times New Roman"/>
              </w:rPr>
              <w:t>stnikiem. Dlatego zasadnym jest</w:t>
            </w:r>
            <w:r w:rsidR="00D746C0">
              <w:rPr>
                <w:rFonts w:ascii="Times New Roman" w:hAnsi="Times New Roman" w:cs="Times New Roman"/>
              </w:rPr>
              <w:t>,</w:t>
            </w:r>
            <w:r w:rsidRPr="00ED723A">
              <w:rPr>
                <w:rFonts w:ascii="Times New Roman" w:hAnsi="Times New Roman" w:cs="Times New Roman"/>
              </w:rPr>
              <w:t xml:space="preserve"> aby wymogi formalne dotyczące dokumentacji ograniczone były do minimum. Wpłynie to pozytywnie na uczestników oraz pracę specjalistów. </w:t>
            </w:r>
            <w:r w:rsidR="00C61179">
              <w:rPr>
                <w:rFonts w:ascii="Times New Roman" w:hAnsi="Times New Roman" w:cs="Times New Roman"/>
              </w:rPr>
              <w:t xml:space="preserve"> </w:t>
            </w:r>
          </w:p>
        </w:tc>
        <w:tc>
          <w:tcPr>
            <w:tcW w:w="4927" w:type="dxa"/>
          </w:tcPr>
          <w:p w:rsidR="006F29B6" w:rsidRPr="00ED723A" w:rsidRDefault="00A72CBA" w:rsidP="00A72CBA">
            <w:pPr>
              <w:jc w:val="both"/>
              <w:rPr>
                <w:rFonts w:ascii="Times New Roman" w:hAnsi="Times New Roman" w:cs="Times New Roman"/>
              </w:rPr>
            </w:pPr>
            <w:r w:rsidRPr="00ED723A">
              <w:rPr>
                <w:rFonts w:ascii="Times New Roman" w:hAnsi="Times New Roman" w:cs="Times New Roman"/>
              </w:rPr>
              <w:t xml:space="preserve">Wszystkie dokumenty wypracowane podczas testowania zostały załączone do finalnego Modelu Koncepcji. </w:t>
            </w:r>
          </w:p>
        </w:tc>
      </w:tr>
      <w:tr w:rsidR="00CB5510" w:rsidRPr="00ED723A" w:rsidTr="00075D27">
        <w:tc>
          <w:tcPr>
            <w:tcW w:w="846" w:type="dxa"/>
          </w:tcPr>
          <w:p w:rsidR="006F29B6" w:rsidRPr="00ED723A" w:rsidRDefault="006F29B6" w:rsidP="006F29B6">
            <w:pPr>
              <w:pStyle w:val="Akapitzlist"/>
              <w:numPr>
                <w:ilvl w:val="0"/>
                <w:numId w:val="9"/>
              </w:numPr>
              <w:jc w:val="both"/>
              <w:rPr>
                <w:rFonts w:ascii="Times New Roman" w:hAnsi="Times New Roman" w:cs="Times New Roman"/>
              </w:rPr>
            </w:pPr>
          </w:p>
        </w:tc>
        <w:tc>
          <w:tcPr>
            <w:tcW w:w="2835" w:type="dxa"/>
          </w:tcPr>
          <w:p w:rsidR="006F29B6" w:rsidRPr="00ED723A" w:rsidRDefault="00B37A73" w:rsidP="00C61179">
            <w:pPr>
              <w:jc w:val="both"/>
              <w:rPr>
                <w:rFonts w:ascii="Times New Roman" w:hAnsi="Times New Roman" w:cs="Times New Roman"/>
              </w:rPr>
            </w:pPr>
            <w:r w:rsidRPr="00ED723A">
              <w:rPr>
                <w:rFonts w:ascii="Times New Roman" w:hAnsi="Times New Roman" w:cs="Times New Roman"/>
              </w:rPr>
              <w:t>N</w:t>
            </w:r>
            <w:r w:rsidR="00A72CBA" w:rsidRPr="00ED723A">
              <w:rPr>
                <w:rFonts w:ascii="Times New Roman" w:hAnsi="Times New Roman" w:cs="Times New Roman"/>
              </w:rPr>
              <w:t>otatk</w:t>
            </w:r>
            <w:r w:rsidRPr="00ED723A">
              <w:rPr>
                <w:rFonts w:ascii="Times New Roman" w:hAnsi="Times New Roman" w:cs="Times New Roman"/>
              </w:rPr>
              <w:t>i i dokumentacja projektowa</w:t>
            </w:r>
            <w:r w:rsidR="00A72CBA" w:rsidRPr="00ED723A">
              <w:rPr>
                <w:rFonts w:ascii="Times New Roman" w:hAnsi="Times New Roman" w:cs="Times New Roman"/>
              </w:rPr>
              <w:t xml:space="preserve"> </w:t>
            </w:r>
          </w:p>
        </w:tc>
        <w:tc>
          <w:tcPr>
            <w:tcW w:w="5386" w:type="dxa"/>
          </w:tcPr>
          <w:p w:rsidR="006F29B6" w:rsidRPr="00ED723A" w:rsidRDefault="00B37A73" w:rsidP="006F29B6">
            <w:pPr>
              <w:jc w:val="both"/>
              <w:rPr>
                <w:rFonts w:ascii="Times New Roman" w:hAnsi="Times New Roman" w:cs="Times New Roman"/>
              </w:rPr>
            </w:pPr>
            <w:r w:rsidRPr="00ED723A">
              <w:rPr>
                <w:rFonts w:ascii="Times New Roman" w:hAnsi="Times New Roman" w:cs="Times New Roman"/>
              </w:rPr>
              <w:t xml:space="preserve">Robienie notatek lub uzupełnianie  dokumentów podczas spotkań z uczestnikami powodowało zaciekawienie i odwrócenie uwagi od spraw konkretnego wsparcia. </w:t>
            </w:r>
            <w:r w:rsidR="00A72CBA" w:rsidRPr="00ED723A">
              <w:rPr>
                <w:rFonts w:ascii="Times New Roman" w:hAnsi="Times New Roman" w:cs="Times New Roman"/>
              </w:rPr>
              <w:t xml:space="preserve">Prowadzenie jedynie niezbędnej dokumentacji miało pozytywny </w:t>
            </w:r>
            <w:r w:rsidR="00D746C0">
              <w:rPr>
                <w:rFonts w:ascii="Times New Roman" w:hAnsi="Times New Roman" w:cs="Times New Roman"/>
              </w:rPr>
              <w:t>i pożądany efekt.</w:t>
            </w:r>
          </w:p>
        </w:tc>
        <w:tc>
          <w:tcPr>
            <w:tcW w:w="4927" w:type="dxa"/>
          </w:tcPr>
          <w:p w:rsidR="006F29B6" w:rsidRPr="00ED723A" w:rsidRDefault="00D746C0" w:rsidP="00D746C0">
            <w:pPr>
              <w:jc w:val="both"/>
              <w:rPr>
                <w:rFonts w:ascii="Times New Roman" w:hAnsi="Times New Roman" w:cs="Times New Roman"/>
              </w:rPr>
            </w:pPr>
            <w:r>
              <w:rPr>
                <w:rFonts w:ascii="Times New Roman" w:hAnsi="Times New Roman" w:cs="Times New Roman"/>
              </w:rPr>
              <w:t xml:space="preserve">Nie zalecamy wypełniania dokumentacji i robienie notatek w obecności uczestnika (dotyczy to przede wszystkim Coach, Prawnika i Dietetyka). </w:t>
            </w:r>
            <w:r w:rsidR="00A72CBA" w:rsidRPr="00ED723A">
              <w:rPr>
                <w:rFonts w:ascii="Times New Roman" w:hAnsi="Times New Roman" w:cs="Times New Roman"/>
              </w:rPr>
              <w:t xml:space="preserve">Wszystkie uwagi </w:t>
            </w:r>
            <w:r>
              <w:rPr>
                <w:rFonts w:ascii="Times New Roman" w:hAnsi="Times New Roman" w:cs="Times New Roman"/>
              </w:rPr>
              <w:t xml:space="preserve">i ewentualne zapiski </w:t>
            </w:r>
            <w:r w:rsidR="00A72CBA" w:rsidRPr="00ED723A">
              <w:rPr>
                <w:rFonts w:ascii="Times New Roman" w:hAnsi="Times New Roman" w:cs="Times New Roman"/>
              </w:rPr>
              <w:t>specjalistów dotyczące pracy z uczestnikami powinny być robione po</w:t>
            </w:r>
            <w:r>
              <w:rPr>
                <w:rFonts w:ascii="Times New Roman" w:hAnsi="Times New Roman" w:cs="Times New Roman"/>
              </w:rPr>
              <w:t xml:space="preserve"> </w:t>
            </w:r>
            <w:r w:rsidR="00A72CBA" w:rsidRPr="00ED723A">
              <w:rPr>
                <w:rFonts w:ascii="Times New Roman" w:hAnsi="Times New Roman" w:cs="Times New Roman"/>
              </w:rPr>
              <w:t>za</w:t>
            </w:r>
            <w:r>
              <w:rPr>
                <w:rFonts w:ascii="Times New Roman" w:hAnsi="Times New Roman" w:cs="Times New Roman"/>
              </w:rPr>
              <w:t>kończeniu wsparcia.</w:t>
            </w:r>
          </w:p>
        </w:tc>
      </w:tr>
      <w:tr w:rsidR="00CB5510" w:rsidRPr="00ED723A" w:rsidTr="00075D27">
        <w:tc>
          <w:tcPr>
            <w:tcW w:w="846" w:type="dxa"/>
          </w:tcPr>
          <w:p w:rsidR="006F29B6" w:rsidRPr="00ED723A" w:rsidRDefault="006F29B6" w:rsidP="006F29B6">
            <w:pPr>
              <w:pStyle w:val="Akapitzlist"/>
              <w:numPr>
                <w:ilvl w:val="0"/>
                <w:numId w:val="9"/>
              </w:numPr>
              <w:jc w:val="both"/>
              <w:rPr>
                <w:rFonts w:ascii="Times New Roman" w:hAnsi="Times New Roman" w:cs="Times New Roman"/>
              </w:rPr>
            </w:pPr>
          </w:p>
        </w:tc>
        <w:tc>
          <w:tcPr>
            <w:tcW w:w="2835" w:type="dxa"/>
          </w:tcPr>
          <w:p w:rsidR="006F29B6" w:rsidRPr="00ED723A" w:rsidRDefault="006F29B6" w:rsidP="006F29B6">
            <w:pPr>
              <w:jc w:val="both"/>
              <w:rPr>
                <w:rFonts w:ascii="Times New Roman" w:hAnsi="Times New Roman" w:cs="Times New Roman"/>
              </w:rPr>
            </w:pPr>
            <w:r w:rsidRPr="00ED723A">
              <w:rPr>
                <w:rFonts w:ascii="Times New Roman" w:hAnsi="Times New Roman" w:cs="Times New Roman"/>
              </w:rPr>
              <w:t xml:space="preserve">Komunikacja wewnątrz projektu </w:t>
            </w:r>
          </w:p>
        </w:tc>
        <w:tc>
          <w:tcPr>
            <w:tcW w:w="5386" w:type="dxa"/>
          </w:tcPr>
          <w:p w:rsidR="006F29B6" w:rsidRPr="00ED723A" w:rsidRDefault="006F29B6" w:rsidP="006F29B6">
            <w:pPr>
              <w:jc w:val="both"/>
              <w:rPr>
                <w:rFonts w:ascii="Times New Roman" w:hAnsi="Times New Roman" w:cs="Times New Roman"/>
              </w:rPr>
            </w:pPr>
            <w:r w:rsidRPr="00ED723A">
              <w:rPr>
                <w:rFonts w:ascii="Times New Roman" w:hAnsi="Times New Roman" w:cs="Times New Roman"/>
              </w:rPr>
              <w:t xml:space="preserve">Podczas realizacji IS dało się zauważyć potrzebę ścisłej współpracy pomiędzy specjalistami, wymiany informacji i spostrzeżeń. W naszym przypadku rolę tą pełnił Specjalista </w:t>
            </w:r>
            <w:r w:rsidRPr="00ED723A">
              <w:rPr>
                <w:rFonts w:ascii="Times New Roman" w:hAnsi="Times New Roman" w:cs="Times New Roman"/>
              </w:rPr>
              <w:lastRenderedPageBreak/>
              <w:t>d/s IPD, który na bieżąco reagował na wszystkie spostrzeżenia i uwagi zarówno personelu jak i uczestników. Dodatkowo jeden raz w miesiącu odbywało się spotkanie monitoringowe personelu. W tym celu zostało udostępnione biuro wraz z telefonem gdzie wszyscy mogli zgłaszać swoje uwagi.</w:t>
            </w:r>
          </w:p>
        </w:tc>
        <w:tc>
          <w:tcPr>
            <w:tcW w:w="4927" w:type="dxa"/>
          </w:tcPr>
          <w:p w:rsidR="006F29B6" w:rsidRPr="00ED723A" w:rsidRDefault="006F29B6" w:rsidP="006F29B6">
            <w:pPr>
              <w:jc w:val="both"/>
              <w:rPr>
                <w:rFonts w:ascii="Times New Roman" w:hAnsi="Times New Roman" w:cs="Times New Roman"/>
              </w:rPr>
            </w:pPr>
            <w:r w:rsidRPr="00ED723A">
              <w:rPr>
                <w:rFonts w:ascii="Times New Roman" w:hAnsi="Times New Roman" w:cs="Times New Roman"/>
              </w:rPr>
              <w:lastRenderedPageBreak/>
              <w:t xml:space="preserve">Do sprawnej realizacji projektu niezbędna jest koordynacja wszystkich działań w ramach projektu. </w:t>
            </w:r>
            <w:r w:rsidRPr="00ED723A">
              <w:rPr>
                <w:rFonts w:ascii="Times New Roman" w:hAnsi="Times New Roman" w:cs="Times New Roman"/>
              </w:rPr>
              <w:lastRenderedPageBreak/>
              <w:t>Powinna być jedna osoba odpowiedzialna za wszystkie działania.</w:t>
            </w:r>
          </w:p>
        </w:tc>
      </w:tr>
      <w:tr w:rsidR="00CB5510" w:rsidRPr="00ED723A" w:rsidTr="00075D27">
        <w:tc>
          <w:tcPr>
            <w:tcW w:w="846" w:type="dxa"/>
          </w:tcPr>
          <w:p w:rsidR="006F29B6" w:rsidRPr="00ED723A" w:rsidRDefault="006F29B6" w:rsidP="006F29B6">
            <w:pPr>
              <w:pStyle w:val="Akapitzlist"/>
              <w:numPr>
                <w:ilvl w:val="0"/>
                <w:numId w:val="9"/>
              </w:numPr>
              <w:jc w:val="both"/>
              <w:rPr>
                <w:rFonts w:ascii="Times New Roman" w:hAnsi="Times New Roman" w:cs="Times New Roman"/>
              </w:rPr>
            </w:pPr>
          </w:p>
        </w:tc>
        <w:tc>
          <w:tcPr>
            <w:tcW w:w="2835" w:type="dxa"/>
          </w:tcPr>
          <w:p w:rsidR="006F29B6" w:rsidRPr="00ED723A" w:rsidRDefault="006F29B6" w:rsidP="006F29B6">
            <w:pPr>
              <w:jc w:val="both"/>
              <w:rPr>
                <w:rFonts w:ascii="Times New Roman" w:hAnsi="Times New Roman" w:cs="Times New Roman"/>
              </w:rPr>
            </w:pPr>
            <w:r w:rsidRPr="00ED723A">
              <w:rPr>
                <w:rFonts w:ascii="Times New Roman" w:hAnsi="Times New Roman" w:cs="Times New Roman"/>
              </w:rPr>
              <w:t>Dodatkowe wsparcie</w:t>
            </w:r>
          </w:p>
        </w:tc>
        <w:tc>
          <w:tcPr>
            <w:tcW w:w="5386" w:type="dxa"/>
          </w:tcPr>
          <w:p w:rsidR="006F29B6" w:rsidRPr="00ED723A" w:rsidRDefault="006F29B6" w:rsidP="006F29B6">
            <w:pPr>
              <w:jc w:val="both"/>
              <w:rPr>
                <w:rFonts w:ascii="Times New Roman" w:hAnsi="Times New Roman" w:cs="Times New Roman"/>
              </w:rPr>
            </w:pPr>
            <w:r w:rsidRPr="00ED723A">
              <w:rPr>
                <w:rFonts w:ascii="Times New Roman" w:hAnsi="Times New Roman" w:cs="Times New Roman"/>
              </w:rPr>
              <w:t>Katalog doboru specjalistów jest niczym nie ograniczony, a może wynikać  jedynie z wyników diagnozy początkowej lub doboru uczestników o specyficznych potrzebach. W naszej innowacji zauważono, iż dodatkowe wsparcie mogło być zaoferowane w postaci usług informatycznych (rolę tą przejął Specjalista ds. budżetu domowego) oraz opiekuna ds. kontaktów z urzędami (rolę tą przejął Specjalista ds. IPD</w:t>
            </w:r>
          </w:p>
        </w:tc>
        <w:tc>
          <w:tcPr>
            <w:tcW w:w="4927" w:type="dxa"/>
          </w:tcPr>
          <w:p w:rsidR="006F29B6" w:rsidRPr="00ED723A" w:rsidRDefault="006F29B6" w:rsidP="00E24A1E">
            <w:pPr>
              <w:jc w:val="both"/>
              <w:rPr>
                <w:rFonts w:ascii="Times New Roman" w:hAnsi="Times New Roman" w:cs="Times New Roman"/>
              </w:rPr>
            </w:pPr>
            <w:r w:rsidRPr="00ED723A">
              <w:rPr>
                <w:rFonts w:ascii="Times New Roman" w:hAnsi="Times New Roman" w:cs="Times New Roman"/>
              </w:rPr>
              <w:t>Wskazane</w:t>
            </w:r>
            <w:r w:rsidR="00E24A1E">
              <w:rPr>
                <w:rFonts w:ascii="Times New Roman" w:hAnsi="Times New Roman" w:cs="Times New Roman"/>
              </w:rPr>
              <w:t xml:space="preserve">, </w:t>
            </w:r>
            <w:r w:rsidRPr="00ED723A">
              <w:rPr>
                <w:rFonts w:ascii="Times New Roman" w:hAnsi="Times New Roman" w:cs="Times New Roman"/>
              </w:rPr>
              <w:t xml:space="preserve"> aby na początku oszacować jak dobieramy uczestników.</w:t>
            </w:r>
            <w:r w:rsidR="00E24A1E">
              <w:rPr>
                <w:rFonts w:ascii="Times New Roman" w:hAnsi="Times New Roman" w:cs="Times New Roman"/>
              </w:rPr>
              <w:t xml:space="preserve"> Dodatkowe wsparcie może wynikać z indywidualnych potrzeb naszych uczestników oraz diagnozy początkowej. </w:t>
            </w:r>
          </w:p>
        </w:tc>
      </w:tr>
      <w:tr w:rsidR="00CB5510" w:rsidRPr="00ED723A" w:rsidTr="00075D27">
        <w:tc>
          <w:tcPr>
            <w:tcW w:w="846" w:type="dxa"/>
          </w:tcPr>
          <w:p w:rsidR="006F29B6" w:rsidRPr="00ED723A" w:rsidRDefault="006F29B6" w:rsidP="006F29B6">
            <w:pPr>
              <w:pStyle w:val="Akapitzlist"/>
              <w:numPr>
                <w:ilvl w:val="0"/>
                <w:numId w:val="9"/>
              </w:numPr>
              <w:jc w:val="both"/>
              <w:rPr>
                <w:rFonts w:ascii="Times New Roman" w:hAnsi="Times New Roman" w:cs="Times New Roman"/>
              </w:rPr>
            </w:pPr>
          </w:p>
        </w:tc>
        <w:tc>
          <w:tcPr>
            <w:tcW w:w="2835" w:type="dxa"/>
          </w:tcPr>
          <w:p w:rsidR="006F29B6" w:rsidRPr="00ED723A" w:rsidRDefault="006F29B6" w:rsidP="006F29B6">
            <w:pPr>
              <w:jc w:val="both"/>
              <w:rPr>
                <w:rFonts w:ascii="Times New Roman" w:hAnsi="Times New Roman" w:cs="Times New Roman"/>
              </w:rPr>
            </w:pPr>
            <w:r w:rsidRPr="00ED723A">
              <w:rPr>
                <w:rFonts w:ascii="Times New Roman" w:hAnsi="Times New Roman" w:cs="Times New Roman"/>
              </w:rPr>
              <w:t>Materiały dodatkowe, broszury, ulotki i indywidualne instrukcje</w:t>
            </w:r>
          </w:p>
        </w:tc>
        <w:tc>
          <w:tcPr>
            <w:tcW w:w="5386" w:type="dxa"/>
          </w:tcPr>
          <w:p w:rsidR="006F29B6" w:rsidRPr="00ED723A" w:rsidRDefault="006F29B6" w:rsidP="00E24A1E">
            <w:pPr>
              <w:jc w:val="both"/>
              <w:rPr>
                <w:rFonts w:ascii="Times New Roman" w:hAnsi="Times New Roman" w:cs="Times New Roman"/>
              </w:rPr>
            </w:pPr>
            <w:r w:rsidRPr="00ED723A">
              <w:rPr>
                <w:rFonts w:ascii="Times New Roman" w:hAnsi="Times New Roman" w:cs="Times New Roman"/>
              </w:rPr>
              <w:t>Zauważono, iż osoby 60+ w większym stopniu powinni mieć</w:t>
            </w:r>
            <w:r w:rsidR="00E24A1E">
              <w:rPr>
                <w:rFonts w:ascii="Times New Roman" w:hAnsi="Times New Roman" w:cs="Times New Roman"/>
              </w:rPr>
              <w:t xml:space="preserve"> przedstawione pewne informacje w formie pisemnej</w:t>
            </w:r>
            <w:r w:rsidRPr="00ED723A">
              <w:rPr>
                <w:rFonts w:ascii="Times New Roman" w:hAnsi="Times New Roman" w:cs="Times New Roman"/>
              </w:rPr>
              <w:t xml:space="preserve">. </w:t>
            </w:r>
            <w:r w:rsidR="00E24A1E">
              <w:rPr>
                <w:rFonts w:ascii="Times New Roman" w:hAnsi="Times New Roman" w:cs="Times New Roman"/>
              </w:rPr>
              <w:t>Uczestnicy niejednokrotnie sygnalizowali, iż dobrym rozwiązaniem są</w:t>
            </w:r>
            <w:r w:rsidRPr="00ED723A">
              <w:rPr>
                <w:rFonts w:ascii="Times New Roman" w:hAnsi="Times New Roman" w:cs="Times New Roman"/>
              </w:rPr>
              <w:t xml:space="preserve"> np. poradniki, ulotki i broszury</w:t>
            </w:r>
            <w:r w:rsidR="00E24A1E">
              <w:rPr>
                <w:rFonts w:ascii="Times New Roman" w:hAnsi="Times New Roman" w:cs="Times New Roman"/>
              </w:rPr>
              <w:t xml:space="preserve"> z danej dziedziny wsparcia. Na bieżąco i w miarę możliwości specjaliści pewne informacje starali się przekazywać w formie pisemnej.</w:t>
            </w:r>
            <w:r w:rsidRPr="00ED723A">
              <w:rPr>
                <w:rFonts w:ascii="Times New Roman" w:hAnsi="Times New Roman" w:cs="Times New Roman"/>
              </w:rPr>
              <w:t xml:space="preserve"> Publikacje te powinny być kolorowe, ciekawe oraz zawierać instruktaż przemawiający do odbiorców.</w:t>
            </w:r>
          </w:p>
        </w:tc>
        <w:tc>
          <w:tcPr>
            <w:tcW w:w="4927" w:type="dxa"/>
          </w:tcPr>
          <w:p w:rsidR="006F29B6" w:rsidRPr="00ED723A" w:rsidRDefault="006F29B6" w:rsidP="006F29B6">
            <w:pPr>
              <w:jc w:val="both"/>
              <w:rPr>
                <w:rFonts w:ascii="Times New Roman" w:hAnsi="Times New Roman" w:cs="Times New Roman"/>
              </w:rPr>
            </w:pPr>
            <w:r w:rsidRPr="00ED723A">
              <w:rPr>
                <w:rFonts w:ascii="Times New Roman" w:hAnsi="Times New Roman" w:cs="Times New Roman"/>
              </w:rPr>
              <w:t>Rozwiązaniem może być opracowa</w:t>
            </w:r>
            <w:r w:rsidR="00E24A1E">
              <w:rPr>
                <w:rFonts w:ascii="Times New Roman" w:hAnsi="Times New Roman" w:cs="Times New Roman"/>
              </w:rPr>
              <w:t>na wcześniej broszura z zakresu</w:t>
            </w:r>
            <w:r w:rsidRPr="00ED723A">
              <w:rPr>
                <w:rFonts w:ascii="Times New Roman" w:hAnsi="Times New Roman" w:cs="Times New Roman"/>
              </w:rPr>
              <w:t>:</w:t>
            </w:r>
            <w:r w:rsidR="00E24A1E">
              <w:rPr>
                <w:rFonts w:ascii="Times New Roman" w:hAnsi="Times New Roman" w:cs="Times New Roman"/>
              </w:rPr>
              <w:t xml:space="preserve"> </w:t>
            </w:r>
            <w:r w:rsidRPr="00ED723A">
              <w:rPr>
                <w:rFonts w:ascii="Times New Roman" w:hAnsi="Times New Roman" w:cs="Times New Roman"/>
              </w:rPr>
              <w:t xml:space="preserve">Dietetyki, Prawa dla seniora czy budżetu domowego. Kluczowym warunkiem użyteczności wszelkich oferowanych uczestnikom treści jest język dostosowany do odbiorców – prosty, zrozumiały. </w:t>
            </w:r>
          </w:p>
        </w:tc>
      </w:tr>
      <w:tr w:rsidR="00CB5510" w:rsidRPr="00ED723A" w:rsidTr="00075D27">
        <w:tc>
          <w:tcPr>
            <w:tcW w:w="846" w:type="dxa"/>
          </w:tcPr>
          <w:p w:rsidR="006F29B6" w:rsidRPr="00ED723A" w:rsidRDefault="006F29B6" w:rsidP="006F29B6">
            <w:pPr>
              <w:pStyle w:val="Akapitzlist"/>
              <w:numPr>
                <w:ilvl w:val="0"/>
                <w:numId w:val="9"/>
              </w:numPr>
              <w:jc w:val="both"/>
              <w:rPr>
                <w:rFonts w:ascii="Times New Roman" w:hAnsi="Times New Roman" w:cs="Times New Roman"/>
              </w:rPr>
            </w:pPr>
          </w:p>
        </w:tc>
        <w:tc>
          <w:tcPr>
            <w:tcW w:w="2835" w:type="dxa"/>
          </w:tcPr>
          <w:p w:rsidR="006F29B6" w:rsidRPr="00ED723A" w:rsidRDefault="006F29B6" w:rsidP="006F29B6">
            <w:pPr>
              <w:jc w:val="both"/>
              <w:rPr>
                <w:rFonts w:ascii="Times New Roman" w:hAnsi="Times New Roman" w:cs="Times New Roman"/>
              </w:rPr>
            </w:pPr>
            <w:r w:rsidRPr="00ED723A">
              <w:rPr>
                <w:rFonts w:ascii="Times New Roman" w:hAnsi="Times New Roman" w:cs="Times New Roman"/>
              </w:rPr>
              <w:t>Wspólne spotkania uczestników projektu</w:t>
            </w:r>
          </w:p>
        </w:tc>
        <w:tc>
          <w:tcPr>
            <w:tcW w:w="5386" w:type="dxa"/>
          </w:tcPr>
          <w:p w:rsidR="006F29B6" w:rsidRPr="00ED723A" w:rsidRDefault="006F29B6" w:rsidP="006F29B6">
            <w:pPr>
              <w:jc w:val="both"/>
              <w:rPr>
                <w:rFonts w:ascii="Times New Roman" w:hAnsi="Times New Roman" w:cs="Times New Roman"/>
              </w:rPr>
            </w:pPr>
            <w:r w:rsidRPr="00ED723A">
              <w:rPr>
                <w:rFonts w:ascii="Times New Roman" w:hAnsi="Times New Roman" w:cs="Times New Roman"/>
              </w:rPr>
              <w:t>Projekt naszego pomysłu nie przewidywał wspólnych spotkań pomiędzy uczestnikami. Oferta miała być zindywidualizowana i kierowana bezpośrednio do każdego uczestnika w miejscu jego zamieszkania.  Drugą grupową formą wsparcia proponowaną uczestnikom było stworzenie grup wsparcia zrzeszających samych opiekunów. Uczestnicy  pozytywnie reagowali na możliwość utworzenia tego typu grup w okolicach ich miejsca zamieszkania, jednak ze względu na brak wolnego czasu preferowali spotkania rzadkie (np. raz w miesiącu), blisko swojego domu. Spotkanie takie zostało zorganizowane na zakończenie udziału w projekcie</w:t>
            </w:r>
          </w:p>
        </w:tc>
        <w:tc>
          <w:tcPr>
            <w:tcW w:w="4927" w:type="dxa"/>
          </w:tcPr>
          <w:p w:rsidR="006F29B6" w:rsidRPr="00ED723A" w:rsidRDefault="00E24A1E" w:rsidP="00E24A1E">
            <w:pPr>
              <w:jc w:val="both"/>
              <w:rPr>
                <w:rFonts w:ascii="Times New Roman" w:hAnsi="Times New Roman" w:cs="Times New Roman"/>
              </w:rPr>
            </w:pPr>
            <w:r>
              <w:rPr>
                <w:rFonts w:ascii="Times New Roman" w:hAnsi="Times New Roman" w:cs="Times New Roman"/>
              </w:rPr>
              <w:t>Z naszego doświadczenia wynika iż, nie istniej żadna uzasadniona przeszkoda, aby tego typu spotkania były elementem projektu.</w:t>
            </w:r>
          </w:p>
        </w:tc>
      </w:tr>
      <w:tr w:rsidR="00CB5510" w:rsidRPr="00ED723A" w:rsidTr="00075D27">
        <w:tc>
          <w:tcPr>
            <w:tcW w:w="846" w:type="dxa"/>
          </w:tcPr>
          <w:p w:rsidR="00773018" w:rsidRPr="00ED723A" w:rsidRDefault="00773018" w:rsidP="006F29B6">
            <w:pPr>
              <w:pStyle w:val="Akapitzlist"/>
              <w:numPr>
                <w:ilvl w:val="0"/>
                <w:numId w:val="9"/>
              </w:numPr>
              <w:jc w:val="both"/>
              <w:rPr>
                <w:rFonts w:ascii="Times New Roman" w:hAnsi="Times New Roman" w:cs="Times New Roman"/>
              </w:rPr>
            </w:pPr>
          </w:p>
        </w:tc>
        <w:tc>
          <w:tcPr>
            <w:tcW w:w="2835" w:type="dxa"/>
          </w:tcPr>
          <w:p w:rsidR="00773018" w:rsidRPr="00ED723A" w:rsidRDefault="00075D27" w:rsidP="00773018">
            <w:pPr>
              <w:jc w:val="both"/>
              <w:rPr>
                <w:rFonts w:ascii="Times New Roman" w:hAnsi="Times New Roman" w:cs="Times New Roman"/>
              </w:rPr>
            </w:pPr>
            <w:r w:rsidRPr="00ED723A">
              <w:rPr>
                <w:rFonts w:ascii="Times New Roman" w:hAnsi="Times New Roman" w:cs="Times New Roman"/>
              </w:rPr>
              <w:t>B</w:t>
            </w:r>
            <w:r w:rsidR="00773018" w:rsidRPr="00ED723A">
              <w:rPr>
                <w:rFonts w:ascii="Times New Roman" w:hAnsi="Times New Roman" w:cs="Times New Roman"/>
              </w:rPr>
              <w:t xml:space="preserve">udżet </w:t>
            </w:r>
            <w:r w:rsidRPr="00ED723A">
              <w:rPr>
                <w:rFonts w:ascii="Times New Roman" w:hAnsi="Times New Roman" w:cs="Times New Roman"/>
              </w:rPr>
              <w:t xml:space="preserve">zaproponowany w </w:t>
            </w:r>
            <w:r w:rsidR="00773018" w:rsidRPr="00ED723A">
              <w:rPr>
                <w:rFonts w:ascii="Times New Roman" w:hAnsi="Times New Roman" w:cs="Times New Roman"/>
              </w:rPr>
              <w:t>Innowacji Społecznej</w:t>
            </w:r>
          </w:p>
        </w:tc>
        <w:tc>
          <w:tcPr>
            <w:tcW w:w="5386" w:type="dxa"/>
          </w:tcPr>
          <w:p w:rsidR="00773018" w:rsidRPr="00ED723A" w:rsidRDefault="00773018" w:rsidP="00773018">
            <w:pPr>
              <w:jc w:val="both"/>
              <w:rPr>
                <w:rFonts w:ascii="Times New Roman" w:hAnsi="Times New Roman" w:cs="Times New Roman"/>
              </w:rPr>
            </w:pPr>
            <w:r w:rsidRPr="00ED723A">
              <w:rPr>
                <w:rFonts w:ascii="Times New Roman" w:hAnsi="Times New Roman" w:cs="Times New Roman"/>
              </w:rPr>
              <w:t xml:space="preserve">Wszystkie koszty zaproponowane w innowacji naszego pomysłu stanowią wyłącznie koszty pracy specjalistów. Zaproponowane stawki odzwierciedlają rzeczywiste stawki rynkowe, zostały opracowane na podstawie Katalogów dopuszczalnych cen </w:t>
            </w:r>
            <w:r w:rsidR="00075D27" w:rsidRPr="00ED723A">
              <w:rPr>
                <w:rFonts w:ascii="Times New Roman" w:hAnsi="Times New Roman" w:cs="Times New Roman"/>
              </w:rPr>
              <w:t>pracy specjalistów w projektach. W obecnej sytuacji rynku pracy niestety nie jest możliwe pozyskanie i zatrudnienie specjalisty za niższą stawkę.</w:t>
            </w:r>
          </w:p>
        </w:tc>
        <w:tc>
          <w:tcPr>
            <w:tcW w:w="4927" w:type="dxa"/>
          </w:tcPr>
          <w:p w:rsidR="00773018" w:rsidRPr="00ED723A" w:rsidRDefault="00075D27" w:rsidP="006F29B6">
            <w:pPr>
              <w:jc w:val="both"/>
              <w:rPr>
                <w:rFonts w:ascii="Times New Roman" w:hAnsi="Times New Roman" w:cs="Times New Roman"/>
              </w:rPr>
            </w:pPr>
            <w:r w:rsidRPr="00ED723A">
              <w:rPr>
                <w:rFonts w:ascii="Times New Roman" w:hAnsi="Times New Roman" w:cs="Times New Roman"/>
              </w:rPr>
              <w:t xml:space="preserve">W chwili obecnej zaproponowany budżet stanowi odzwierciedlenie stawek rynkowych. Niemniej jednak obniżenie stawek możliwe jest poprzez: zatrudnienie specjalistów o znacznie niższych kwalifikacjach i doświadczeniu (takie rozwiązanie może wpłynąć niekorzystnie na całość projektu) lub wybranie </w:t>
            </w:r>
            <w:r w:rsidR="00E24A1E">
              <w:rPr>
                <w:rFonts w:ascii="Times New Roman" w:hAnsi="Times New Roman" w:cs="Times New Roman"/>
              </w:rPr>
              <w:t xml:space="preserve">innego </w:t>
            </w:r>
            <w:r w:rsidRPr="00ED723A">
              <w:rPr>
                <w:rFonts w:ascii="Times New Roman" w:hAnsi="Times New Roman" w:cs="Times New Roman"/>
              </w:rPr>
              <w:t>wsparcia, a co za tym idzie zatrudnienie specjalistów z innych dziedzin (rozwiązanie to musi wynikać z diagnozy wstępnej do projektu).</w:t>
            </w:r>
          </w:p>
        </w:tc>
      </w:tr>
    </w:tbl>
    <w:p w:rsidR="001C457C" w:rsidRPr="00ED723A" w:rsidRDefault="001C457C" w:rsidP="001C457C">
      <w:pPr>
        <w:jc w:val="both"/>
        <w:rPr>
          <w:rFonts w:ascii="Times New Roman" w:hAnsi="Times New Roman" w:cs="Times New Roman"/>
        </w:rPr>
      </w:pPr>
    </w:p>
    <w:p w:rsidR="00A506C5" w:rsidRPr="00ED723A" w:rsidRDefault="00A506C5" w:rsidP="001C457C">
      <w:pPr>
        <w:jc w:val="both"/>
        <w:rPr>
          <w:rFonts w:ascii="Times New Roman" w:hAnsi="Times New Roman" w:cs="Times New Roman"/>
        </w:rPr>
      </w:pPr>
    </w:p>
    <w:p w:rsidR="00A506C5" w:rsidRPr="00ED723A" w:rsidRDefault="00A506C5" w:rsidP="001C457C">
      <w:pPr>
        <w:jc w:val="both"/>
        <w:rPr>
          <w:rFonts w:ascii="Times New Roman" w:hAnsi="Times New Roman" w:cs="Times New Roman"/>
        </w:rPr>
      </w:pPr>
    </w:p>
    <w:p w:rsidR="00A506C5" w:rsidRPr="00ED723A" w:rsidRDefault="00A506C5" w:rsidP="001C457C">
      <w:pPr>
        <w:jc w:val="both"/>
        <w:rPr>
          <w:rFonts w:ascii="Times New Roman" w:hAnsi="Times New Roman" w:cs="Times New Roman"/>
        </w:rPr>
      </w:pPr>
    </w:p>
    <w:p w:rsidR="00A506C5" w:rsidRPr="00ED723A" w:rsidRDefault="00A506C5" w:rsidP="001C457C">
      <w:pPr>
        <w:jc w:val="both"/>
        <w:rPr>
          <w:rFonts w:ascii="Times New Roman" w:hAnsi="Times New Roman" w:cs="Times New Roman"/>
        </w:rPr>
      </w:pPr>
    </w:p>
    <w:p w:rsidR="00A506C5" w:rsidRPr="00ED723A" w:rsidRDefault="00A506C5" w:rsidP="001C457C">
      <w:pPr>
        <w:jc w:val="both"/>
        <w:rPr>
          <w:rFonts w:ascii="Times New Roman" w:hAnsi="Times New Roman" w:cs="Times New Roman"/>
        </w:rPr>
      </w:pPr>
    </w:p>
    <w:p w:rsidR="00A506C5" w:rsidRPr="00ED723A" w:rsidRDefault="00A506C5" w:rsidP="001C457C">
      <w:pPr>
        <w:jc w:val="both"/>
        <w:rPr>
          <w:rFonts w:ascii="Times New Roman" w:hAnsi="Times New Roman" w:cs="Times New Roman"/>
        </w:rPr>
      </w:pPr>
    </w:p>
    <w:p w:rsidR="00A506C5" w:rsidRPr="00ED723A" w:rsidRDefault="00A506C5" w:rsidP="001C457C">
      <w:pPr>
        <w:jc w:val="both"/>
        <w:rPr>
          <w:rFonts w:ascii="Times New Roman" w:hAnsi="Times New Roman" w:cs="Times New Roman"/>
        </w:rPr>
      </w:pPr>
    </w:p>
    <w:p w:rsidR="00A506C5" w:rsidRPr="00ED723A" w:rsidRDefault="00A506C5" w:rsidP="001C457C">
      <w:pPr>
        <w:jc w:val="both"/>
        <w:rPr>
          <w:rFonts w:ascii="Times New Roman" w:hAnsi="Times New Roman" w:cs="Times New Roman"/>
        </w:rPr>
      </w:pPr>
    </w:p>
    <w:p w:rsidR="00A506C5" w:rsidRPr="00ED723A" w:rsidRDefault="00A506C5" w:rsidP="001C457C">
      <w:pPr>
        <w:jc w:val="both"/>
        <w:rPr>
          <w:rFonts w:ascii="Times New Roman" w:hAnsi="Times New Roman" w:cs="Times New Roman"/>
        </w:rPr>
      </w:pPr>
    </w:p>
    <w:p w:rsidR="00A506C5" w:rsidRPr="00ED723A" w:rsidRDefault="00A506C5" w:rsidP="001C457C">
      <w:pPr>
        <w:jc w:val="both"/>
        <w:rPr>
          <w:rFonts w:ascii="Times New Roman" w:hAnsi="Times New Roman" w:cs="Times New Roman"/>
        </w:rPr>
      </w:pPr>
    </w:p>
    <w:p w:rsidR="00A506C5" w:rsidRDefault="00A506C5" w:rsidP="001C457C">
      <w:pPr>
        <w:jc w:val="both"/>
      </w:pPr>
    </w:p>
    <w:p w:rsidR="00A506C5" w:rsidRDefault="00A506C5" w:rsidP="001C457C">
      <w:pPr>
        <w:jc w:val="both"/>
      </w:pPr>
    </w:p>
    <w:p w:rsidR="00906012" w:rsidRDefault="00906012" w:rsidP="00073F55">
      <w:pPr>
        <w:jc w:val="both"/>
      </w:pPr>
    </w:p>
    <w:p w:rsidR="00906012" w:rsidRDefault="00906012" w:rsidP="00906012">
      <w:pPr>
        <w:pStyle w:val="NormalnyWeb"/>
        <w:shd w:val="clear" w:color="auto" w:fill="FFFFFF"/>
        <w:spacing w:before="75" w:beforeAutospacing="0" w:after="75" w:afterAutospacing="0"/>
        <w:jc w:val="both"/>
        <w:rPr>
          <w:rFonts w:ascii="Tahoma" w:hAnsi="Tahoma" w:cs="Tahoma"/>
          <w:color w:val="444444"/>
          <w:sz w:val="20"/>
          <w:szCs w:val="20"/>
        </w:rPr>
      </w:pPr>
      <w:r>
        <w:rPr>
          <w:rStyle w:val="Pogrubienie"/>
          <w:rFonts w:ascii="Tahoma" w:hAnsi="Tahoma" w:cs="Tahoma"/>
          <w:color w:val="444444"/>
          <w:sz w:val="20"/>
          <w:szCs w:val="20"/>
        </w:rPr>
        <w:lastRenderedPageBreak/>
        <w:t>Wnioski</w:t>
      </w:r>
      <w:r>
        <w:rPr>
          <w:rFonts w:ascii="Tahoma" w:hAnsi="Tahoma" w:cs="Tahoma"/>
          <w:color w:val="444444"/>
          <w:sz w:val="20"/>
          <w:szCs w:val="20"/>
        </w:rPr>
        <w:br/>
      </w:r>
      <w:r>
        <w:rPr>
          <w:rFonts w:ascii="Tahoma" w:hAnsi="Tahoma" w:cs="Tahoma"/>
          <w:color w:val="444444"/>
          <w:sz w:val="20"/>
          <w:szCs w:val="20"/>
        </w:rPr>
        <w:br/>
      </w:r>
      <w:r>
        <w:rPr>
          <w:rStyle w:val="Pogrubienie"/>
          <w:rFonts w:ascii="Tahoma" w:hAnsi="Tahoma" w:cs="Tahoma"/>
          <w:color w:val="444444"/>
          <w:sz w:val="20"/>
          <w:szCs w:val="20"/>
        </w:rPr>
        <w:t>Efekty policzalne</w:t>
      </w:r>
      <w:r>
        <w:rPr>
          <w:rFonts w:ascii="Tahoma" w:hAnsi="Tahoma" w:cs="Tahoma"/>
          <w:color w:val="444444"/>
          <w:sz w:val="20"/>
          <w:szCs w:val="20"/>
        </w:rPr>
        <w:br/>
        <w:t>• Przeprowadzono 40 szkoleń.</w:t>
      </w:r>
      <w:r>
        <w:rPr>
          <w:rFonts w:ascii="Tahoma" w:hAnsi="Tahoma" w:cs="Tahoma"/>
          <w:color w:val="444444"/>
          <w:sz w:val="20"/>
          <w:szCs w:val="20"/>
        </w:rPr>
        <w:br/>
        <w:t>• Przeszkolono 800 liderek społeczności wiejskich.</w:t>
      </w:r>
      <w:r>
        <w:rPr>
          <w:rFonts w:ascii="Tahoma" w:hAnsi="Tahoma" w:cs="Tahoma"/>
          <w:color w:val="444444"/>
          <w:sz w:val="20"/>
          <w:szCs w:val="20"/>
        </w:rPr>
        <w:br/>
        <w:t>• Rozdystrybuowano 800 Cd z PROW 2014-2020.</w:t>
      </w:r>
      <w:r>
        <w:rPr>
          <w:rFonts w:ascii="Tahoma" w:hAnsi="Tahoma" w:cs="Tahoma"/>
          <w:color w:val="444444"/>
          <w:sz w:val="20"/>
          <w:szCs w:val="20"/>
        </w:rPr>
        <w:br/>
        <w:t>• Rozdystrybuowano 800 skryptów tematycznych.</w:t>
      </w:r>
      <w:r>
        <w:rPr>
          <w:rFonts w:ascii="Tahoma" w:hAnsi="Tahoma" w:cs="Tahoma"/>
          <w:color w:val="444444"/>
          <w:sz w:val="20"/>
          <w:szCs w:val="20"/>
        </w:rPr>
        <w:br/>
      </w:r>
      <w:r>
        <w:rPr>
          <w:rFonts w:ascii="Tahoma" w:hAnsi="Tahoma" w:cs="Tahoma"/>
          <w:color w:val="444444"/>
          <w:sz w:val="20"/>
          <w:szCs w:val="20"/>
        </w:rPr>
        <w:br/>
      </w:r>
      <w:r>
        <w:rPr>
          <w:rStyle w:val="Pogrubienie"/>
          <w:rFonts w:ascii="Tahoma" w:hAnsi="Tahoma" w:cs="Tahoma"/>
          <w:color w:val="444444"/>
          <w:sz w:val="20"/>
          <w:szCs w:val="20"/>
        </w:rPr>
        <w:t>Efekty niepoliczalne</w:t>
      </w:r>
      <w:r>
        <w:rPr>
          <w:rFonts w:ascii="Tahoma" w:hAnsi="Tahoma" w:cs="Tahoma"/>
          <w:color w:val="444444"/>
          <w:sz w:val="20"/>
          <w:szCs w:val="20"/>
        </w:rPr>
        <w:br/>
        <w:t>• Zdobycie wiedzy dotyczącej poruszanych tematów.</w:t>
      </w:r>
      <w:r>
        <w:rPr>
          <w:rFonts w:ascii="Tahoma" w:hAnsi="Tahoma" w:cs="Tahoma"/>
          <w:color w:val="444444"/>
          <w:sz w:val="20"/>
          <w:szCs w:val="20"/>
        </w:rPr>
        <w:br/>
        <w:t>• Nawiązanie współpracy pomiędzy różnymi instytucjami, osobami.</w:t>
      </w:r>
      <w:r>
        <w:rPr>
          <w:rFonts w:ascii="Tahoma" w:hAnsi="Tahoma" w:cs="Tahoma"/>
          <w:color w:val="444444"/>
          <w:sz w:val="20"/>
          <w:szCs w:val="20"/>
        </w:rPr>
        <w:br/>
        <w:t>• Zebranie ustnych deklaracji chęci utworzenia w przyszłości nowych podmiotów ekonomii społecznej, zagród edukacyjnych, gospodarstw opiekuńczych, rolniczego handlu detalicznego, działalności gospodarczej, itp.</w:t>
      </w:r>
      <w:r>
        <w:rPr>
          <w:rFonts w:ascii="Tahoma" w:hAnsi="Tahoma" w:cs="Tahoma"/>
          <w:color w:val="444444"/>
          <w:sz w:val="20"/>
          <w:szCs w:val="20"/>
        </w:rPr>
        <w:br/>
        <w:t>• Połączenie przedstawicieli różnych środowisk.</w:t>
      </w:r>
      <w:r>
        <w:rPr>
          <w:rFonts w:ascii="Tahoma" w:hAnsi="Tahoma" w:cs="Tahoma"/>
          <w:color w:val="444444"/>
          <w:sz w:val="20"/>
          <w:szCs w:val="20"/>
        </w:rPr>
        <w:br/>
        <w:t>• Wzmocnienie wiary we własne możliwości uczestniczek.</w:t>
      </w:r>
      <w:r>
        <w:rPr>
          <w:rFonts w:ascii="Tahoma" w:hAnsi="Tahoma" w:cs="Tahoma"/>
          <w:color w:val="444444"/>
          <w:sz w:val="20"/>
          <w:szCs w:val="20"/>
        </w:rPr>
        <w:br/>
        <w:t>• Promocja działalności Ministerstwa Rolnictwa i Rozwoju Wsi, Centrum Doradztwa Rolniczego, Ośrodków Doradztwa Rolniczego, Lokalnych Grup Działania, podmiotów ekonomii społecznej, Kół Gospodyń Wiejskich, Ośrodków Wsparcia Ekonomii Społecznej i innych organizacji formalnych i nieformalnych.</w:t>
      </w:r>
    </w:p>
    <w:p w:rsidR="00C36458" w:rsidRDefault="00C36458" w:rsidP="00073F55">
      <w:pPr>
        <w:jc w:val="both"/>
      </w:pPr>
    </w:p>
    <w:p w:rsidR="00C36458" w:rsidRDefault="00C36458" w:rsidP="00073F55">
      <w:pPr>
        <w:jc w:val="both"/>
      </w:pPr>
    </w:p>
    <w:p w:rsidR="00C36458" w:rsidRDefault="00C36458" w:rsidP="00073F55">
      <w:pPr>
        <w:jc w:val="both"/>
      </w:pPr>
    </w:p>
    <w:p w:rsidR="004312CD" w:rsidRDefault="00231901" w:rsidP="00073F55">
      <w:pPr>
        <w:jc w:val="both"/>
      </w:pPr>
      <w:r>
        <w:t xml:space="preserve">. Rola asystenta opieki w tym ujęciu polegałaby na pośrednictwie pomiędzy opiekunem a instytucjami, a także stanowiłaby wsparcie doradcze i informacyjne w szerszym rozumieniu. Uruchomienie instytucji „pośrednika” jest szczególnie istotne ze względu na brak zaufania opiekunów do instytucji, a także trudności, jakie mają opiekunowie np. z wypełnianiem dokumentacji czy godzeniem obowiązków opiekuńczych z koniecznością odwiedzania wielu urzędów. W opinii opiekunów, podobnie jak i ekspertów, osoba taka powinna odwiedzać seniora i jego opiekuna raz lub dwa razy w tygodniu na początku opieki oraz doraźnie kontrolować sytuację w późniejszych jej etapach. Dla ekspertów biorących udział w badaniu była to jednak bardziej istotna forma wsparcia niż w opinii opiekunów nieformalnych ze względu na diagnozowane problemy w jakości opieki domowej. Usługa taka w ich opinii jest konieczna i powinna być dostępna, a korzystanie z niej obowiązkowe. Dodatkowo w opinii badanych specjalistów asystent opieki powinien przysposobić do opieki całą rodzinę. 24. Kolejnymi rozwiązaniami proponowanymi opiekunom rodzinnym podczas wywiadów były różne formy docierania do ważnych informacji potrzebnych podczas sprawowania opieki domowej nad seniorem. W opinii badanych opiekunów forma teledoradztwa byłaby szczególnie interesująca. Wynikało to przede wszystkim z niewielkich nakładów czasu, który musiałby być poświęcony na wykonanie telefonu przez opiekuna. Infolinia byłaby odpowiedzią na najczęściej wskazywany negatywny efekt sprawowania opieki jakim okazał się brak czasu „na wszystko” szczególnie dotyczący grupy opiekunów pracujących. Teledoradztwo byłoby także formą wsparcia dostosowaną do możliwości opiekunów osób starszych zaangażowanych w stałą czyli całodobową opiekę. </w:t>
      </w:r>
      <w:r>
        <w:lastRenderedPageBreak/>
        <w:t xml:space="preserve">Opiekunowie ci, przeważnie sprawujący opiekę jednoosobowo nie są w stanie choćby na chwilę oderwać się od obowiązków opiekuńczych. Porady telefoniczne wydają się też być istotne z uwagi na fakt, iż wiele osób ma problemy ze zwróceniem się o pomoc, kontakt tego rodzaju, w dużej mierze anonimowy, mógłby to ułatwiać. Dodatkowo opiekunowie w razie ewentualnych wątpliwości mogliby od razu dopytać o kwestie szczegółowe. Infolinia dla opiekunów osób starszych byłaby rozwiązaniem doraźnym odpowiadającym na konkretny problem czy doraźną potrzebę. Warunkiem przydatności infolinii jest jej dostępność i profesjonalizm teledoradców. Osoba obsługująca telefon doradczy powinna być empatyczna, kompetentna, dysponować kompleksową informacją dla opiekunów nieformalnych lub posiadać wiedzę, gdzie przekierować osobę pytającą. Kilkoro opiekunów wspominało o negatywnych doświadczeniach związanych z telefonowaniem do różnego rodzaju instytucji – niedostępność, niechęć porozmawiania, nieumiejętność udzielenia odpowiedzi itd. 25. Dla osób korzystających z internetu, doradztwo telefoniczne może być wymienne z doradztwem internetowym prowadzonym np. w ramach dedykowanego portalu. Portal internetowy </w:t>
      </w:r>
    </w:p>
    <w:sectPr w:rsidR="004312CD" w:rsidSect="000A6D44">
      <w:headerReference w:type="even" r:id="rId11"/>
      <w:headerReference w:type="default" r:id="rId12"/>
      <w:footerReference w:type="even" r:id="rId13"/>
      <w:footerReference w:type="default" r:id="rId14"/>
      <w:headerReference w:type="first" r:id="rId15"/>
      <w:footerReference w:type="first" r:id="rId1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6B2" w:rsidRDefault="00AB66B2" w:rsidP="00FB393B">
      <w:pPr>
        <w:spacing w:after="0" w:line="240" w:lineRule="auto"/>
      </w:pPr>
      <w:r>
        <w:separator/>
      </w:r>
    </w:p>
  </w:endnote>
  <w:endnote w:type="continuationSeparator" w:id="0">
    <w:p w:rsidR="00AB66B2" w:rsidRDefault="00AB66B2" w:rsidP="00FB3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93B" w:rsidRDefault="00FB393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896797"/>
      <w:docPartObj>
        <w:docPartGallery w:val="Page Numbers (Bottom of Page)"/>
        <w:docPartUnique/>
      </w:docPartObj>
    </w:sdtPr>
    <w:sdtEndPr/>
    <w:sdtContent>
      <w:p w:rsidR="00024323" w:rsidRDefault="00024323">
        <w:pPr>
          <w:pStyle w:val="Stopka"/>
          <w:jc w:val="right"/>
        </w:pPr>
        <w:r>
          <w:fldChar w:fldCharType="begin"/>
        </w:r>
        <w:r>
          <w:instrText>PAGE   \* MERGEFORMAT</w:instrText>
        </w:r>
        <w:r>
          <w:fldChar w:fldCharType="separate"/>
        </w:r>
        <w:r w:rsidR="00D403A2">
          <w:rPr>
            <w:noProof/>
          </w:rPr>
          <w:t>1</w:t>
        </w:r>
        <w:r>
          <w:fldChar w:fldCharType="end"/>
        </w:r>
      </w:p>
    </w:sdtContent>
  </w:sdt>
  <w:p w:rsidR="00FB393B" w:rsidRDefault="00FB393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93B" w:rsidRDefault="00FB393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6B2" w:rsidRDefault="00AB66B2" w:rsidP="00FB393B">
      <w:pPr>
        <w:spacing w:after="0" w:line="240" w:lineRule="auto"/>
      </w:pPr>
      <w:r>
        <w:separator/>
      </w:r>
    </w:p>
  </w:footnote>
  <w:footnote w:type="continuationSeparator" w:id="0">
    <w:p w:rsidR="00AB66B2" w:rsidRDefault="00AB66B2" w:rsidP="00FB3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93B" w:rsidRDefault="00FB393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93B" w:rsidRDefault="00FB393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93B" w:rsidRDefault="00FB393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722C8"/>
    <w:multiLevelType w:val="hybridMultilevel"/>
    <w:tmpl w:val="567C6E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E62D00"/>
    <w:multiLevelType w:val="hybridMultilevel"/>
    <w:tmpl w:val="1D70920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2D0D2A"/>
    <w:multiLevelType w:val="hybridMultilevel"/>
    <w:tmpl w:val="62FA9F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7C5816"/>
    <w:multiLevelType w:val="hybridMultilevel"/>
    <w:tmpl w:val="52BEA9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82C6221"/>
    <w:multiLevelType w:val="hybridMultilevel"/>
    <w:tmpl w:val="CBF62A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B5817DD"/>
    <w:multiLevelType w:val="hybridMultilevel"/>
    <w:tmpl w:val="DC0EBD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79C706A"/>
    <w:multiLevelType w:val="hybridMultilevel"/>
    <w:tmpl w:val="311415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E6B36E0"/>
    <w:multiLevelType w:val="hybridMultilevel"/>
    <w:tmpl w:val="3BFE12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1C3C7F"/>
    <w:multiLevelType w:val="hybridMultilevel"/>
    <w:tmpl w:val="AC14077A"/>
    <w:lvl w:ilvl="0" w:tplc="F79A81D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6B24244"/>
    <w:multiLevelType w:val="hybridMultilevel"/>
    <w:tmpl w:val="8A707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6B36B31"/>
    <w:multiLevelType w:val="hybridMultilevel"/>
    <w:tmpl w:val="EFAC1F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6CA5D1D"/>
    <w:multiLevelType w:val="hybridMultilevel"/>
    <w:tmpl w:val="62F4B15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AD578B1"/>
    <w:multiLevelType w:val="hybridMultilevel"/>
    <w:tmpl w:val="125A84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F0C255A"/>
    <w:multiLevelType w:val="hybridMultilevel"/>
    <w:tmpl w:val="AC14077A"/>
    <w:lvl w:ilvl="0" w:tplc="F79A81D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E4E073F"/>
    <w:multiLevelType w:val="hybridMultilevel"/>
    <w:tmpl w:val="989C22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2044ED4"/>
    <w:multiLevelType w:val="hybridMultilevel"/>
    <w:tmpl w:val="EE3AD7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44F418A"/>
    <w:multiLevelType w:val="hybridMultilevel"/>
    <w:tmpl w:val="A3BCEE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6"/>
  </w:num>
  <w:num w:numId="3">
    <w:abstractNumId w:val="8"/>
  </w:num>
  <w:num w:numId="4">
    <w:abstractNumId w:val="7"/>
  </w:num>
  <w:num w:numId="5">
    <w:abstractNumId w:val="1"/>
  </w:num>
  <w:num w:numId="6">
    <w:abstractNumId w:val="11"/>
  </w:num>
  <w:num w:numId="7">
    <w:abstractNumId w:val="2"/>
  </w:num>
  <w:num w:numId="8">
    <w:abstractNumId w:val="13"/>
  </w:num>
  <w:num w:numId="9">
    <w:abstractNumId w:val="14"/>
  </w:num>
  <w:num w:numId="10">
    <w:abstractNumId w:val="4"/>
  </w:num>
  <w:num w:numId="11">
    <w:abstractNumId w:val="15"/>
  </w:num>
  <w:num w:numId="12">
    <w:abstractNumId w:val="3"/>
  </w:num>
  <w:num w:numId="13">
    <w:abstractNumId w:val="16"/>
  </w:num>
  <w:num w:numId="14">
    <w:abstractNumId w:val="12"/>
  </w:num>
  <w:num w:numId="15">
    <w:abstractNumId w:val="9"/>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98D"/>
    <w:rsid w:val="00002305"/>
    <w:rsid w:val="0000554B"/>
    <w:rsid w:val="00017475"/>
    <w:rsid w:val="00024323"/>
    <w:rsid w:val="00043B77"/>
    <w:rsid w:val="0004720A"/>
    <w:rsid w:val="0005335B"/>
    <w:rsid w:val="00073F55"/>
    <w:rsid w:val="00075D27"/>
    <w:rsid w:val="000A6D44"/>
    <w:rsid w:val="000B5CF7"/>
    <w:rsid w:val="000D4F4B"/>
    <w:rsid w:val="000E3125"/>
    <w:rsid w:val="00157338"/>
    <w:rsid w:val="00164DBE"/>
    <w:rsid w:val="001830F4"/>
    <w:rsid w:val="001A10E3"/>
    <w:rsid w:val="001C2652"/>
    <w:rsid w:val="001C457C"/>
    <w:rsid w:val="002025EB"/>
    <w:rsid w:val="00204846"/>
    <w:rsid w:val="00231901"/>
    <w:rsid w:val="002615DF"/>
    <w:rsid w:val="00267FF7"/>
    <w:rsid w:val="00286B13"/>
    <w:rsid w:val="003006A6"/>
    <w:rsid w:val="003044EC"/>
    <w:rsid w:val="0030750E"/>
    <w:rsid w:val="00313777"/>
    <w:rsid w:val="00321800"/>
    <w:rsid w:val="00327829"/>
    <w:rsid w:val="003A0A13"/>
    <w:rsid w:val="003A6FC9"/>
    <w:rsid w:val="003D3E01"/>
    <w:rsid w:val="004312CD"/>
    <w:rsid w:val="00432D3D"/>
    <w:rsid w:val="0043352E"/>
    <w:rsid w:val="00443A3A"/>
    <w:rsid w:val="004665AB"/>
    <w:rsid w:val="00471768"/>
    <w:rsid w:val="00483B7A"/>
    <w:rsid w:val="004A5643"/>
    <w:rsid w:val="004E6A60"/>
    <w:rsid w:val="0050148A"/>
    <w:rsid w:val="00572D75"/>
    <w:rsid w:val="00593043"/>
    <w:rsid w:val="005A4283"/>
    <w:rsid w:val="005B1A39"/>
    <w:rsid w:val="006174EA"/>
    <w:rsid w:val="00620F4C"/>
    <w:rsid w:val="00630130"/>
    <w:rsid w:val="006332BC"/>
    <w:rsid w:val="0063793B"/>
    <w:rsid w:val="006A0DE6"/>
    <w:rsid w:val="006F29B6"/>
    <w:rsid w:val="006F3A7C"/>
    <w:rsid w:val="00773018"/>
    <w:rsid w:val="00776E84"/>
    <w:rsid w:val="00782D03"/>
    <w:rsid w:val="007B198D"/>
    <w:rsid w:val="007B1F18"/>
    <w:rsid w:val="007C6036"/>
    <w:rsid w:val="00823817"/>
    <w:rsid w:val="008239F6"/>
    <w:rsid w:val="0084488C"/>
    <w:rsid w:val="00884B4C"/>
    <w:rsid w:val="00896DBE"/>
    <w:rsid w:val="008C6150"/>
    <w:rsid w:val="008E3C97"/>
    <w:rsid w:val="00906012"/>
    <w:rsid w:val="00916989"/>
    <w:rsid w:val="009518A3"/>
    <w:rsid w:val="009A35BF"/>
    <w:rsid w:val="009F3F58"/>
    <w:rsid w:val="00A2575A"/>
    <w:rsid w:val="00A35E88"/>
    <w:rsid w:val="00A506C5"/>
    <w:rsid w:val="00A66162"/>
    <w:rsid w:val="00A71A3D"/>
    <w:rsid w:val="00A72CBA"/>
    <w:rsid w:val="00AB66B2"/>
    <w:rsid w:val="00AD77CD"/>
    <w:rsid w:val="00B02171"/>
    <w:rsid w:val="00B37A73"/>
    <w:rsid w:val="00B5104B"/>
    <w:rsid w:val="00B7047A"/>
    <w:rsid w:val="00B75E78"/>
    <w:rsid w:val="00BB1253"/>
    <w:rsid w:val="00BD7F45"/>
    <w:rsid w:val="00C020F8"/>
    <w:rsid w:val="00C04C5C"/>
    <w:rsid w:val="00C12990"/>
    <w:rsid w:val="00C36458"/>
    <w:rsid w:val="00C61179"/>
    <w:rsid w:val="00C8122E"/>
    <w:rsid w:val="00CB5510"/>
    <w:rsid w:val="00CF49C1"/>
    <w:rsid w:val="00D0305E"/>
    <w:rsid w:val="00D20367"/>
    <w:rsid w:val="00D403A2"/>
    <w:rsid w:val="00D40A68"/>
    <w:rsid w:val="00D477C1"/>
    <w:rsid w:val="00D746C0"/>
    <w:rsid w:val="00D81C13"/>
    <w:rsid w:val="00D832F7"/>
    <w:rsid w:val="00DA1526"/>
    <w:rsid w:val="00DF5679"/>
    <w:rsid w:val="00E24A1E"/>
    <w:rsid w:val="00E9183E"/>
    <w:rsid w:val="00ED723A"/>
    <w:rsid w:val="00F758CC"/>
    <w:rsid w:val="00F90D9E"/>
    <w:rsid w:val="00FB39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427295-DA61-4EB7-B7EF-61A0C6D9C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D4F4B"/>
    <w:pPr>
      <w:ind w:left="720"/>
      <w:contextualSpacing/>
    </w:pPr>
  </w:style>
  <w:style w:type="paragraph" w:styleId="NormalnyWeb">
    <w:name w:val="Normal (Web)"/>
    <w:basedOn w:val="Normalny"/>
    <w:uiPriority w:val="99"/>
    <w:semiHidden/>
    <w:unhideWhenUsed/>
    <w:rsid w:val="0090601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06012"/>
    <w:rPr>
      <w:b/>
      <w:bCs/>
    </w:rPr>
  </w:style>
  <w:style w:type="table" w:styleId="Tabela-Siatka">
    <w:name w:val="Table Grid"/>
    <w:basedOn w:val="Standardowy"/>
    <w:uiPriority w:val="59"/>
    <w:rsid w:val="000A6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FB39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393B"/>
  </w:style>
  <w:style w:type="paragraph" w:styleId="Stopka">
    <w:name w:val="footer"/>
    <w:basedOn w:val="Normalny"/>
    <w:link w:val="StopkaZnak"/>
    <w:uiPriority w:val="99"/>
    <w:unhideWhenUsed/>
    <w:rsid w:val="00FB39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3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40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4003</Words>
  <Characters>24022</Characters>
  <Application>Microsoft Office Word</Application>
  <DocSecurity>0</DocSecurity>
  <Lines>200</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Użytkownik systemu Windows</cp:lastModifiedBy>
  <cp:revision>2</cp:revision>
  <dcterms:created xsi:type="dcterms:W3CDTF">2018-04-25T10:56:00Z</dcterms:created>
  <dcterms:modified xsi:type="dcterms:W3CDTF">2018-04-25T10:56:00Z</dcterms:modified>
</cp:coreProperties>
</file>