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D72E0" w:rsidRDefault="00182B76">
      <w:pPr>
        <w:widowControl w:val="0"/>
        <w:spacing w:line="360" w:lineRule="auto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Międzypokoleniowy</w:t>
      </w:r>
      <w:bookmarkStart w:id="0" w:name="_GoBack"/>
      <w:bookmarkEnd w:id="0"/>
      <w:r>
        <w:rPr>
          <w:b/>
          <w:color w:val="222222"/>
          <w:sz w:val="24"/>
          <w:szCs w:val="24"/>
        </w:rPr>
        <w:t xml:space="preserve"> Klub Aktywności</w:t>
      </w:r>
    </w:p>
    <w:p w14:paraId="00000002" w14:textId="77777777" w:rsidR="001D72E0" w:rsidRDefault="001D72E0">
      <w:pPr>
        <w:widowControl w:val="0"/>
        <w:spacing w:line="360" w:lineRule="auto"/>
        <w:rPr>
          <w:b/>
          <w:color w:val="222222"/>
          <w:sz w:val="24"/>
          <w:szCs w:val="24"/>
        </w:rPr>
      </w:pPr>
    </w:p>
    <w:p w14:paraId="00000003" w14:textId="77777777" w:rsidR="001D72E0" w:rsidRDefault="00182B76">
      <w:pPr>
        <w:widowControl w:val="0"/>
        <w:spacing w:line="36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Międzypokoleniowy Klub Aktywności to miejsce, w którym wyspecjalizowana kadra umożliwia osobom starszym zależnym i seniorom na przedpolu zależności regularny kontakt z rówieśnikami i dziećmi.</w:t>
      </w:r>
      <w:r>
        <w:rPr>
          <w:color w:val="222222"/>
          <w:sz w:val="24"/>
          <w:szCs w:val="24"/>
        </w:rPr>
        <w:t xml:space="preserve"> Model jest realizowany w oparciu o spotkania stałej grupy odbiorców. Oprócz czasu na aktywność własną w osobnych salach program zajęć wspólnych dla seniorów, dzieci i ich opiekunów obejmuje gry i zabawy, prace manualne i artystyczne, czytanie książek, min</w:t>
      </w:r>
      <w:r>
        <w:rPr>
          <w:color w:val="222222"/>
          <w:sz w:val="24"/>
          <w:szCs w:val="24"/>
        </w:rPr>
        <w:t>ikurs języka obcego oraz wspólny posiłek – drugie śniadanie. Natomiast dla grupy samych seniorów są prowadzone ćwiczenia usprawniające ciało i umysł, zapewnione są takie świadczenia jak opieka pielęgniarska i obiad, a także dostęp do bieżącej prasy i bibli</w:t>
      </w:r>
      <w:r>
        <w:rPr>
          <w:color w:val="222222"/>
          <w:sz w:val="24"/>
          <w:szCs w:val="24"/>
        </w:rPr>
        <w:t>oteczki.</w:t>
      </w:r>
    </w:p>
    <w:p w14:paraId="00000004" w14:textId="77777777" w:rsidR="001D72E0" w:rsidRDefault="001D72E0">
      <w:pPr>
        <w:widowControl w:val="0"/>
        <w:spacing w:line="360" w:lineRule="auto"/>
        <w:rPr>
          <w:color w:val="222222"/>
          <w:sz w:val="24"/>
          <w:szCs w:val="24"/>
        </w:rPr>
      </w:pPr>
    </w:p>
    <w:p w14:paraId="00000005" w14:textId="77777777" w:rsidR="001D72E0" w:rsidRDefault="00182B76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Po co to jest?</w:t>
      </w:r>
    </w:p>
    <w:p w14:paraId="00000006" w14:textId="77777777" w:rsidR="001D72E0" w:rsidRDefault="00182B76">
      <w:pPr>
        <w:widowControl w:val="0"/>
        <w:spacing w:line="360" w:lineRule="auto"/>
        <w:jc w:val="both"/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Celem innowacji jest stymulowanie kondycji psycho-fizycznej oraz ograniczenie poczucia samotności, podtrzymywanie i nawiązanie nowych relacji (w tym międzypokoleniowych) wśród osób starszych zależnych mieszkających samotnie lub z r</w:t>
      </w:r>
      <w:r>
        <w:rPr>
          <w:sz w:val="24"/>
          <w:szCs w:val="24"/>
        </w:rPr>
        <w:t>odziną. Sposobem na to jest udział w Międzypokoleniowym Klubie Aktywności pozwalający na regularny kontakt z dziećmi.</w:t>
      </w:r>
    </w:p>
    <w:p w14:paraId="00000007" w14:textId="77777777" w:rsidR="001D72E0" w:rsidRDefault="001D72E0">
      <w:pPr>
        <w:spacing w:line="360" w:lineRule="auto"/>
        <w:rPr>
          <w:b/>
          <w:sz w:val="24"/>
          <w:szCs w:val="24"/>
        </w:rPr>
      </w:pPr>
    </w:p>
    <w:p w14:paraId="00000008" w14:textId="77777777" w:rsidR="001D72E0" w:rsidRDefault="00182B76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Dla kogo? (uczestnicy)</w:t>
      </w:r>
    </w:p>
    <w:p w14:paraId="00000009" w14:textId="77777777" w:rsidR="001D72E0" w:rsidRDefault="00182B76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Odbiorcami ostatecznymi innowacji są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osoby starsze zależne i na przedpolu zależności</w:t>
      </w:r>
      <w:r>
        <w:rPr>
          <w:sz w:val="24"/>
          <w:szCs w:val="24"/>
        </w:rPr>
        <w:t>. Niektóre potrzebują transpor</w:t>
      </w:r>
      <w:r>
        <w:rPr>
          <w:sz w:val="24"/>
          <w:szCs w:val="24"/>
        </w:rPr>
        <w:t>tu lub asystenta w dotarciu do wyznaczonego miejsca, usprawnień lub specjalistycznego sprzętu (jak wózek inwalidzki, laska, kule, aparat słuchowy). Model Międzypokoleniowego Klubu Aktywności nie jest przeznaczony dla osób z chorobami zakaźnymi, psychiatryc</w:t>
      </w:r>
      <w:r>
        <w:rPr>
          <w:sz w:val="24"/>
          <w:szCs w:val="24"/>
        </w:rPr>
        <w:t xml:space="preserve">znymi, zaawansowanym otępieniem oraz ze znacznym ograniczeniem fizycznym (np. dla osób leżących). </w:t>
      </w:r>
    </w:p>
    <w:p w14:paraId="0000000A" w14:textId="77777777" w:rsidR="001D72E0" w:rsidRDefault="00182B76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Grupą odbiorców pośrednich są małe dzieci nieobjęte edukacją żłobkowo-przedszkolną</w:t>
      </w:r>
      <w:r>
        <w:rPr>
          <w:sz w:val="24"/>
          <w:szCs w:val="24"/>
        </w:rPr>
        <w:t>. Najbardziej adekwatne wiekowo będą te w wieku od 1,5 roku do 3 lat. Dziec</w:t>
      </w:r>
      <w:r>
        <w:rPr>
          <w:sz w:val="24"/>
          <w:szCs w:val="24"/>
        </w:rPr>
        <w:t xml:space="preserve">i takie najwięcej czasu (szczególnie w okresie jesienno-zimowym) spędzają w domach ze swoim rodzicem, babcią lub nianią. Sporadycznie biorą udział w zorganizowanych formach zabawy i nauki. Jeśli nie mają rodzeństwa, ich kontakt z innymi </w:t>
      </w:r>
      <w:r>
        <w:rPr>
          <w:sz w:val="24"/>
          <w:szCs w:val="24"/>
        </w:rPr>
        <w:lastRenderedPageBreak/>
        <w:t>dziećmi jest znaczn</w:t>
      </w:r>
      <w:r>
        <w:rPr>
          <w:sz w:val="24"/>
          <w:szCs w:val="24"/>
        </w:rPr>
        <w:t>ie ograniczony. W związku z często obserwowanym zjawiskiem migracji zarobkowej rodzin ich relacje z dziadkami czy pradziadkami mogą być także osłabione. Rozwój emocjonalny, poznawczy i ruchowy takich dzieci mógłby z korzyścią zostać wzbogacony o nowe doświ</w:t>
      </w:r>
      <w:r>
        <w:rPr>
          <w:sz w:val="24"/>
          <w:szCs w:val="24"/>
        </w:rPr>
        <w:t>adczenia. W niektórych przypadkach opiekunowie dzieci nie są w stanie zapewnić swoim podopiecznym adekwatnych oddziaływań edukacyjno-wychowawczych, w tym bogatego w stymulujące bodźce środowiska czy właściwych modeli zachowań. Co więcej, nieprawidłowości w</w:t>
      </w:r>
      <w:r>
        <w:rPr>
          <w:sz w:val="24"/>
          <w:szCs w:val="24"/>
        </w:rPr>
        <w:t xml:space="preserve"> rozwoju takich dzieci mogą nie zostać w odpowiednim momencie wychwycone, w odróżnieniu od sytuacji dzieci, które są pod stałą obserwacją pracowników żłobka czy przedszkola. </w:t>
      </w:r>
    </w:p>
    <w:p w14:paraId="0000000B" w14:textId="77777777" w:rsidR="001D72E0" w:rsidRDefault="001D72E0">
      <w:pPr>
        <w:widowControl w:val="0"/>
        <w:spacing w:line="360" w:lineRule="auto"/>
        <w:jc w:val="both"/>
        <w:rPr>
          <w:sz w:val="24"/>
          <w:szCs w:val="24"/>
        </w:rPr>
      </w:pPr>
    </w:p>
    <w:p w14:paraId="0000000C" w14:textId="77777777" w:rsidR="001D72E0" w:rsidRDefault="00182B76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Odbiorcami pośrednimi są także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dwie grupy opiekunów</w:t>
      </w:r>
      <w:r>
        <w:rPr>
          <w:sz w:val="24"/>
          <w:szCs w:val="24"/>
        </w:rPr>
        <w:t>: ci, którzy zajmują się osob</w:t>
      </w:r>
      <w:r>
        <w:rPr>
          <w:sz w:val="24"/>
          <w:szCs w:val="24"/>
        </w:rPr>
        <w:t>ami starszymi oraz ci, którzy zajmują się małymi dziećmi. Opieka nad osobą zależną jest związana z poświęcaniem zasobów czasu, energii i środków materialnych oraz z pewnymi kosztami psychologicznymi. W grupie opiekunów osób starszych zależnych znajdują się</w:t>
      </w:r>
      <w:r>
        <w:rPr>
          <w:sz w:val="24"/>
          <w:szCs w:val="24"/>
        </w:rPr>
        <w:t xml:space="preserve"> przede wszystkim dzieci i wnuki, zdarza się jednak, że rola opiekuna osoby zależnej przypada synowej lub zięciowi, rodzicowi (który sam nie jest już w pełni sprawny) czy innej osobie spoza rodziny. Opiekunowie małych dzieci to głównie matki, które pozosta</w:t>
      </w:r>
      <w:r>
        <w:rPr>
          <w:sz w:val="24"/>
          <w:szCs w:val="24"/>
        </w:rPr>
        <w:t>ją z dzieckiem w domu i z różnych przyczyn nie decydują się na wysłanie dziecka do żłobka/przedszkola (np. z powodu przyjętego w danej rodzinie modelu wychowawczego, konieczności sprawowania opieki równocześnie nad innymi członkami rodziny, nadopiekuńczośc</w:t>
      </w:r>
      <w:r>
        <w:rPr>
          <w:sz w:val="24"/>
          <w:szCs w:val="24"/>
        </w:rPr>
        <w:t>i). W związku ze sprawowaniem stałej opieki nad dziećmi w większości będą to osoby dysponujące niedostateczną ilością czasu na realizację swoich planów osobistych czy zawodowych, niedostateczną liczbą kontaktów, które zwykle zapewnia środowisko pracy, potr</w:t>
      </w:r>
      <w:r>
        <w:rPr>
          <w:sz w:val="24"/>
          <w:szCs w:val="24"/>
        </w:rPr>
        <w:t xml:space="preserve">zebujące wytchnienia i wsparcia. </w:t>
      </w:r>
    </w:p>
    <w:p w14:paraId="0000000D" w14:textId="77777777" w:rsidR="001D72E0" w:rsidRDefault="00182B76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Wyzwanie stojące przed innowacyjnym modelem jakim jest Międzypokoleniowy Klub Aktywności to stworzenie warunków do </w:t>
      </w:r>
      <w:r>
        <w:rPr>
          <w:b/>
          <w:sz w:val="24"/>
          <w:szCs w:val="24"/>
        </w:rPr>
        <w:t>społecznej wymiany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w której poszczególne jednostki i grupy dzielą się z innymi swoim „kapitałem”</w:t>
      </w:r>
      <w:r>
        <w:rPr>
          <w:sz w:val="24"/>
          <w:szCs w:val="24"/>
        </w:rPr>
        <w:t xml:space="preserve">. W dużej </w:t>
      </w:r>
      <w:r>
        <w:rPr>
          <w:sz w:val="24"/>
          <w:szCs w:val="24"/>
        </w:rPr>
        <w:t xml:space="preserve">mierze wymiana ta jest zaaranżowana, jednak z punktu widzenia jej uczestników – w dużym stopniu nieuświadomiona i niezamierzona. </w:t>
      </w:r>
    </w:p>
    <w:p w14:paraId="0000000E" w14:textId="77777777" w:rsidR="001D72E0" w:rsidRDefault="001D72E0">
      <w:pPr>
        <w:spacing w:line="360" w:lineRule="auto"/>
        <w:rPr>
          <w:b/>
          <w:sz w:val="24"/>
          <w:szCs w:val="24"/>
        </w:rPr>
      </w:pPr>
    </w:p>
    <w:p w14:paraId="0000000F" w14:textId="77777777" w:rsidR="001D72E0" w:rsidRDefault="00182B76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Kto może skorzystać? (kto ma wdrożyć)</w:t>
      </w:r>
    </w:p>
    <w:p w14:paraId="00000010" w14:textId="77777777" w:rsidR="001D72E0" w:rsidRDefault="00182B76">
      <w:pPr>
        <w:widowControl w:val="0"/>
        <w:spacing w:line="360" w:lineRule="auto"/>
        <w:jc w:val="both"/>
        <w:rPr>
          <w:color w:val="FF3333"/>
          <w:sz w:val="24"/>
          <w:szCs w:val="24"/>
        </w:rPr>
      </w:pPr>
      <w:r>
        <w:rPr>
          <w:b/>
          <w:sz w:val="24"/>
          <w:szCs w:val="24"/>
        </w:rPr>
        <w:lastRenderedPageBreak/>
        <w:t>Użytkownikami innowacji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mogą być różne typy instytucji, organizacji i firm</w:t>
      </w:r>
      <w:r>
        <w:rPr>
          <w:sz w:val="24"/>
          <w:szCs w:val="24"/>
        </w:rPr>
        <w:t>. W szczególn</w:t>
      </w:r>
      <w:r>
        <w:rPr>
          <w:sz w:val="24"/>
          <w:szCs w:val="24"/>
        </w:rPr>
        <w:t>ości jednak rozwiązaniem mogą być zainteresowane gminy (poprzez swoje jednostki organizacyjne), mikroprzedsiębiorcy, korporacje, biurowce, spółdzielnie i wspólnoty mieszkaniowe oraz organizacje pozarządowe.</w:t>
      </w:r>
    </w:p>
    <w:p w14:paraId="00000011" w14:textId="77777777" w:rsidR="001D72E0" w:rsidRDefault="001D72E0">
      <w:pPr>
        <w:spacing w:line="360" w:lineRule="auto"/>
        <w:rPr>
          <w:b/>
          <w:sz w:val="24"/>
          <w:szCs w:val="24"/>
        </w:rPr>
      </w:pPr>
    </w:p>
    <w:p w14:paraId="00000012" w14:textId="77777777" w:rsidR="001D72E0" w:rsidRDefault="00182B76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Krok po kroku, jak zrealizować + aktywne linki </w:t>
      </w:r>
    </w:p>
    <w:p w14:paraId="00000013" w14:textId="77777777" w:rsidR="001D72E0" w:rsidRDefault="00182B76">
      <w:pPr>
        <w:spacing w:line="360" w:lineRule="auto"/>
        <w:rPr>
          <w:sz w:val="24"/>
          <w:szCs w:val="24"/>
          <w:highlight w:val="cyan"/>
        </w:rPr>
      </w:pPr>
      <w:r>
        <w:rPr>
          <w:sz w:val="24"/>
          <w:szCs w:val="24"/>
        </w:rPr>
        <w:t>Wszystkie kroki i sposób działania innowacji są opisane w</w:t>
      </w:r>
      <w:r>
        <w:rPr>
          <w:i/>
          <w:sz w:val="24"/>
          <w:szCs w:val="24"/>
        </w:rPr>
        <w:t xml:space="preserve"> I</w:t>
      </w:r>
      <w:r>
        <w:rPr>
          <w:i/>
          <w:sz w:val="24"/>
          <w:szCs w:val="24"/>
          <w:highlight w:val="cyan"/>
        </w:rPr>
        <w:t>nstrukcji przygotowania innowacji</w:t>
      </w:r>
      <w:r>
        <w:rPr>
          <w:sz w:val="24"/>
          <w:szCs w:val="24"/>
          <w:highlight w:val="cyan"/>
        </w:rPr>
        <w:t>.</w:t>
      </w:r>
    </w:p>
    <w:p w14:paraId="00000014" w14:textId="77777777" w:rsidR="001D72E0" w:rsidRDefault="001D72E0">
      <w:pPr>
        <w:spacing w:line="360" w:lineRule="auto"/>
        <w:rPr>
          <w:b/>
          <w:sz w:val="24"/>
          <w:szCs w:val="24"/>
          <w:highlight w:val="cyan"/>
        </w:rPr>
      </w:pPr>
    </w:p>
    <w:p w14:paraId="00000015" w14:textId="77777777" w:rsidR="001D72E0" w:rsidRDefault="00182B76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Dotarcie do grup docelowych – współpraca z instytucjami.</w:t>
      </w:r>
    </w:p>
    <w:p w14:paraId="00000016" w14:textId="77777777" w:rsidR="001D72E0" w:rsidRDefault="00182B76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Przeprowadzenie spotkań inauguracyjnych z udziałem zainteresowanych.</w:t>
      </w:r>
    </w:p>
    <w:p w14:paraId="00000017" w14:textId="77777777" w:rsidR="001D72E0" w:rsidRDefault="00182B76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Zatrudnienie kadry. </w:t>
      </w:r>
    </w:p>
    <w:p w14:paraId="00000018" w14:textId="77777777" w:rsidR="001D72E0" w:rsidRDefault="00182B76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Przeprowadzenie procesu rekrutacji uczestników.</w:t>
      </w:r>
    </w:p>
    <w:p w14:paraId="00000019" w14:textId="77777777" w:rsidR="001D72E0" w:rsidRDefault="00182B76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Przystosowanie lokalu zgodnie z wymogami technicznymi.</w:t>
      </w:r>
    </w:p>
    <w:p w14:paraId="0000001A" w14:textId="77777777" w:rsidR="001D72E0" w:rsidRDefault="00182B76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Przystosowanie lokalu zgodnie z wymogami BHP.</w:t>
      </w:r>
    </w:p>
    <w:p w14:paraId="0000001B" w14:textId="77777777" w:rsidR="001D72E0" w:rsidRDefault="00182B76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Organizacja posiłków w czasie spotkań.</w:t>
      </w:r>
    </w:p>
    <w:p w14:paraId="0000001C" w14:textId="77777777" w:rsidR="001D72E0" w:rsidRDefault="00182B76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Zapewnienie transportu osobom mającym trudności w poruszaniu się.</w:t>
      </w:r>
    </w:p>
    <w:p w14:paraId="0000001D" w14:textId="77777777" w:rsidR="001D72E0" w:rsidRDefault="00182B76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Proces budowania grupy międzypokoleniowej.</w:t>
      </w:r>
    </w:p>
    <w:p w14:paraId="0000001E" w14:textId="77777777" w:rsidR="001D72E0" w:rsidRDefault="00182B76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Prowadzenie międzypokoleniowych zajęć – szczegółowe wskazówki są zawarte w </w:t>
      </w:r>
      <w:r>
        <w:rPr>
          <w:i/>
          <w:sz w:val="24"/>
          <w:szCs w:val="24"/>
          <w:highlight w:val="cyan"/>
        </w:rPr>
        <w:t>Instrukcji prowadzenia Międzypokoleniowego Klubu Aktywności</w:t>
      </w:r>
      <w:r>
        <w:rPr>
          <w:sz w:val="24"/>
          <w:szCs w:val="24"/>
        </w:rPr>
        <w:t xml:space="preserve">. Skorzystajcie także ze </w:t>
      </w:r>
      <w:r>
        <w:rPr>
          <w:i/>
          <w:sz w:val="24"/>
          <w:szCs w:val="24"/>
          <w:highlight w:val="cyan"/>
        </w:rPr>
        <w:t>Scenariuszy zajęć.</w:t>
      </w:r>
    </w:p>
    <w:p w14:paraId="0000001F" w14:textId="77777777" w:rsidR="001D72E0" w:rsidRDefault="00182B76">
      <w:pPr>
        <w:widowControl w:val="0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Ewaluacja działań – skorzystajcie z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  <w:highlight w:val="cyan"/>
        </w:rPr>
        <w:t>Narzędzia ewaluacji.</w:t>
      </w:r>
    </w:p>
    <w:p w14:paraId="00000020" w14:textId="77777777" w:rsidR="001D72E0" w:rsidRDefault="001D72E0">
      <w:pPr>
        <w:widowControl w:val="0"/>
        <w:spacing w:after="283" w:line="360" w:lineRule="auto"/>
        <w:jc w:val="both"/>
        <w:rPr>
          <w:sz w:val="24"/>
          <w:szCs w:val="24"/>
        </w:rPr>
      </w:pPr>
    </w:p>
    <w:p w14:paraId="00000021" w14:textId="77777777" w:rsidR="001D72E0" w:rsidRDefault="00182B76">
      <w:pPr>
        <w:widowControl w:val="0"/>
        <w:spacing w:after="283" w:line="360" w:lineRule="auto"/>
        <w:jc w:val="both"/>
        <w:rPr>
          <w:b/>
          <w:color w:val="B2B2B2"/>
          <w:sz w:val="28"/>
          <w:szCs w:val="28"/>
        </w:rPr>
      </w:pPr>
      <w:r>
        <w:rPr>
          <w:sz w:val="24"/>
          <w:szCs w:val="24"/>
        </w:rPr>
        <w:t xml:space="preserve">Dwa kluczowe słowa opisujące sposób działania innowacji to </w:t>
      </w:r>
      <w:r>
        <w:rPr>
          <w:b/>
          <w:sz w:val="24"/>
          <w:szCs w:val="24"/>
        </w:rPr>
        <w:t>kompetencje” i „elastyczność”</w:t>
      </w:r>
      <w:r>
        <w:rPr>
          <w:sz w:val="24"/>
          <w:szCs w:val="24"/>
        </w:rPr>
        <w:t>. Istotą Międzypokoleniowego Klubu Aktywności jest doprowadzenie do interakcji między dwoma grupami odbiorców, które w życiu codziennym rzadko ma</w:t>
      </w:r>
      <w:r>
        <w:rPr>
          <w:sz w:val="24"/>
          <w:szCs w:val="24"/>
        </w:rPr>
        <w:t>ją ze sobą styczność. Między grupą seniorów i juniorów dochodzi do różnego typu interakcji - od wzajemnej obserwacji, poprzez działanie obok siebie, aż po współdziałanie i współodczuwanie. Za animowanie tych interakcji odpowiadają – szczególnie na początko</w:t>
      </w:r>
      <w:r>
        <w:rPr>
          <w:sz w:val="24"/>
          <w:szCs w:val="24"/>
        </w:rPr>
        <w:t xml:space="preserve">wym etapie tworzenia klubu – instruktorzy/opiekunowie. Proces ten przebiega w </w:t>
      </w:r>
      <w:r>
        <w:rPr>
          <w:sz w:val="24"/>
          <w:szCs w:val="24"/>
        </w:rPr>
        <w:lastRenderedPageBreak/>
        <w:t xml:space="preserve">większości bezkonfliktowo i bez przymusu dzięki odniesieniu się do tego, </w:t>
      </w:r>
      <w:r>
        <w:rPr>
          <w:b/>
          <w:sz w:val="24"/>
          <w:szCs w:val="24"/>
        </w:rPr>
        <w:t>co jest wspólne dla każdej z grup</w:t>
      </w:r>
      <w:r>
        <w:rPr>
          <w:sz w:val="24"/>
          <w:szCs w:val="24"/>
        </w:rPr>
        <w:t xml:space="preserve"> (zależność, otwartość na nowe doświadczenia i zabawę, dysponowanie woln</w:t>
      </w:r>
      <w:r>
        <w:rPr>
          <w:sz w:val="24"/>
          <w:szCs w:val="24"/>
        </w:rPr>
        <w:t xml:space="preserve">ym czasem), ale także dzięki poszanowaniu tego, </w:t>
      </w:r>
      <w:r>
        <w:rPr>
          <w:b/>
          <w:sz w:val="24"/>
          <w:szCs w:val="24"/>
        </w:rPr>
        <w:t>co różnicuje obie grupy</w:t>
      </w:r>
      <w:r>
        <w:rPr>
          <w:sz w:val="24"/>
          <w:szCs w:val="24"/>
        </w:rPr>
        <w:t xml:space="preserve"> (potrzeba odpoczynku w przypadku seniorów, obecność bliskich opiekunów w przypadku juniorów). Kluczowe w zapewnieniu efektywnego działania modelu jest wykorzystanie kompetencji kadry i</w:t>
      </w:r>
      <w:r>
        <w:rPr>
          <w:sz w:val="24"/>
          <w:szCs w:val="24"/>
        </w:rPr>
        <w:t>nstruktorów/opiekunów – mieszanki ich wiedzy, doświadczenia, umiejętności oraz odpowiedniej postawy. Instruktor musi mieć pomysł, jak wykorzystać konkretną metodę czy artefakt w pracy z odmienną grupą odbiorców. Model działa jako zbiór uniwersalnych rad dl</w:t>
      </w:r>
      <w:r>
        <w:rPr>
          <w:sz w:val="24"/>
          <w:szCs w:val="24"/>
        </w:rPr>
        <w:t>a potencjalnego użytkownika, a radą kluczową jest dostosowywanie działań do możliwości odbiorców i elastyczne reagowanie na ich potrzeby.</w:t>
      </w:r>
    </w:p>
    <w:p w14:paraId="00000022" w14:textId="77777777" w:rsidR="001D72E0" w:rsidRDefault="001D72E0">
      <w:pPr>
        <w:widowControl w:val="0"/>
        <w:spacing w:line="360" w:lineRule="auto"/>
        <w:rPr>
          <w:b/>
          <w:sz w:val="24"/>
          <w:szCs w:val="24"/>
        </w:rPr>
      </w:pPr>
    </w:p>
    <w:p w14:paraId="00000023" w14:textId="77777777" w:rsidR="001D72E0" w:rsidRDefault="00182B76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Zarządzanie modelem</w:t>
      </w:r>
    </w:p>
    <w:p w14:paraId="00000024" w14:textId="77777777" w:rsidR="001D72E0" w:rsidRDefault="00182B76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Zarządzanie modelem może odbywać się dwutorowo. Pierwsza możliwość to stworzenie takiego miejsca </w:t>
      </w:r>
      <w:r>
        <w:rPr>
          <w:sz w:val="24"/>
          <w:szCs w:val="24"/>
        </w:rPr>
        <w:t xml:space="preserve">od podstaw jako klubu międzypokoleniowego. Druga możliwość to wykorzystanie funkcjonującego już miejsca (np. centrum kultury, sali zabaw, dziennego domu pobytu dla seniorów). W tym drugim przypadku miejsce jest programowo przeznaczone dla określonej grupy </w:t>
      </w:r>
      <w:r>
        <w:rPr>
          <w:sz w:val="24"/>
          <w:szCs w:val="24"/>
        </w:rPr>
        <w:t>odbiorców, chodzi więc o poszerzenie o nową grupę korzystających. Lub też – jak np. w przypadku domu kultury, centrów aktywizacji lokalnej, spółdzielni mieszkaniowych, gdzie różne grupy funkcjonują obok siebie, o ich integrację.</w:t>
      </w:r>
    </w:p>
    <w:p w14:paraId="00000025" w14:textId="77777777" w:rsidR="001D72E0" w:rsidRDefault="001D72E0">
      <w:pPr>
        <w:spacing w:line="360" w:lineRule="auto"/>
        <w:rPr>
          <w:b/>
          <w:sz w:val="24"/>
          <w:szCs w:val="24"/>
        </w:rPr>
      </w:pPr>
    </w:p>
    <w:p w14:paraId="00000026" w14:textId="77777777" w:rsidR="001D72E0" w:rsidRDefault="00182B76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Struktura kosztów</w:t>
      </w:r>
    </w:p>
    <w:p w14:paraId="00000027" w14:textId="77777777" w:rsidR="001D72E0" w:rsidRDefault="00182B76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Koszty o</w:t>
      </w:r>
      <w:r>
        <w:rPr>
          <w:sz w:val="24"/>
          <w:szCs w:val="24"/>
        </w:rPr>
        <w:t>bejmują: zatrudnienie kadry, opłaty związane z wynajęciem/użytkowaniem lokalu, środki higieniczne i medyczne, koszty wyżywienia, zakup materiałów do prac plastycznych, manualnych, zakup materiałów dydaktycznych, prasy, krzyżówek, koszty dowozu osób. Szacun</w:t>
      </w:r>
      <w:r>
        <w:rPr>
          <w:sz w:val="24"/>
          <w:szCs w:val="24"/>
        </w:rPr>
        <w:t>kowy koszt roczny dla użytkownika przy 14 odbiorcach ostatecznych i 16 odbiorcach pośrednich to ok. 145 000 zł (nie licząc kosztów administracyjnych i promocji). Średni koszt na jednego odbiorcę w skali roku to ok. 4833 zł (wliczając odbiorców ostatecznych</w:t>
      </w:r>
      <w:r>
        <w:rPr>
          <w:sz w:val="24"/>
          <w:szCs w:val="24"/>
        </w:rPr>
        <w:t xml:space="preserve"> i pośrednich). </w:t>
      </w:r>
    </w:p>
    <w:p w14:paraId="00000028" w14:textId="77777777" w:rsidR="001D72E0" w:rsidRDefault="001D72E0">
      <w:pPr>
        <w:spacing w:line="360" w:lineRule="auto"/>
        <w:rPr>
          <w:b/>
          <w:color w:val="0000FF"/>
          <w:sz w:val="24"/>
          <w:szCs w:val="24"/>
        </w:rPr>
      </w:pPr>
    </w:p>
    <w:p w14:paraId="00000029" w14:textId="77777777" w:rsidR="001D72E0" w:rsidRDefault="00182B76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lastRenderedPageBreak/>
        <w:t>Minimalne standardy</w:t>
      </w:r>
    </w:p>
    <w:p w14:paraId="0000002A" w14:textId="77777777" w:rsidR="001D72E0" w:rsidRDefault="00182B76">
      <w:pPr>
        <w:widowControl w:val="0"/>
        <w:spacing w:line="360" w:lineRule="auto"/>
        <w:jc w:val="both"/>
        <w:rPr>
          <w:color w:val="C5000B"/>
          <w:sz w:val="24"/>
          <w:szCs w:val="24"/>
        </w:rPr>
      </w:pPr>
      <w:r>
        <w:rPr>
          <w:b/>
          <w:sz w:val="24"/>
          <w:szCs w:val="24"/>
        </w:rPr>
        <w:t>Minimalny standard techniczny</w:t>
      </w:r>
      <w:r>
        <w:rPr>
          <w:sz w:val="24"/>
          <w:szCs w:val="24"/>
        </w:rPr>
        <w:t xml:space="preserve"> to dobrze umiejscowiony, dostosowany do potrzeb oraz możliwości osób z ograniczoną sprawnością fizyczną lokal z zapleczem sanitarnym i kuchennym. Wskazany jest dostęp do minimum dwóch oddz</w:t>
      </w:r>
      <w:r>
        <w:rPr>
          <w:sz w:val="24"/>
          <w:szCs w:val="24"/>
        </w:rPr>
        <w:t xml:space="preserve">ielnych przestronnych pomieszczeń. Niezbędny sprzęt i materiały: stoły, wygodne krzesła, odtwarzacz muzyki, zabawki i sprzęt dla dzieci, materiały dydaktyczne i materiały do prac plastycznych. </w:t>
      </w:r>
    </w:p>
    <w:p w14:paraId="0000002B" w14:textId="77777777" w:rsidR="001D72E0" w:rsidRDefault="00182B76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Minimalny standard zatrudnienia</w:t>
      </w:r>
      <w:r>
        <w:rPr>
          <w:sz w:val="24"/>
          <w:szCs w:val="24"/>
        </w:rPr>
        <w:t xml:space="preserve"> to instruktor/instruktorka ora</w:t>
      </w:r>
      <w:r>
        <w:rPr>
          <w:sz w:val="24"/>
          <w:szCs w:val="24"/>
        </w:rPr>
        <w:t xml:space="preserve">z pomoc instruktora/instruktorki. Odpowiednie kwalifikacje powinna mieć także osoba prowadząca ćwiczenia fizyczne, naukę języka obcego, czy konsultacje z zakresu dietetyki i zdrowego żywienia. </w:t>
      </w:r>
    </w:p>
    <w:p w14:paraId="0000002C" w14:textId="77777777" w:rsidR="001D72E0" w:rsidRDefault="00182B76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Minimalny standard programowy </w:t>
      </w:r>
      <w:r>
        <w:rPr>
          <w:sz w:val="24"/>
          <w:szCs w:val="24"/>
        </w:rPr>
        <w:t>to</w:t>
      </w:r>
      <w:r>
        <w:rPr>
          <w:color w:val="999999"/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>ćwiczenia usprawniające umysł, ćwiczenia gimnastyczne, zajęcia manualne/plastyczne, zabawy z udziałem dzieci i dorosłych, minimum jeden wspólny posiłek.</w:t>
      </w:r>
    </w:p>
    <w:p w14:paraId="0000002D" w14:textId="77777777" w:rsidR="001D72E0" w:rsidRDefault="001D72E0">
      <w:pPr>
        <w:spacing w:line="360" w:lineRule="auto"/>
        <w:rPr>
          <w:b/>
          <w:color w:val="0000FF"/>
          <w:sz w:val="24"/>
          <w:szCs w:val="24"/>
        </w:rPr>
      </w:pPr>
    </w:p>
    <w:p w14:paraId="0000002E" w14:textId="77777777" w:rsidR="001D72E0" w:rsidRDefault="00182B76">
      <w:pPr>
        <w:spacing w:line="360" w:lineRule="auto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Czy to działa? Wnioski z ewaluacji</w:t>
      </w:r>
    </w:p>
    <w:p w14:paraId="0000002F" w14:textId="77777777" w:rsidR="001D72E0" w:rsidRDefault="00182B76">
      <w:pPr>
        <w:spacing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Seniorzy bardzo wysoko oceniają rozwiązanie, które – jak zgodnie tw</w:t>
      </w:r>
      <w:r>
        <w:rPr>
          <w:sz w:val="24"/>
          <w:szCs w:val="24"/>
          <w:highlight w:val="white"/>
        </w:rPr>
        <w:t xml:space="preserve">ierdzą – wpływa na poprawę jakości ich życia (odgonienie czarnych myśli, przełamanie monotonii i samotności). Innowację można uznać za satysfakcjonującą dla uczestników – spotkania Klubu pozwalają na zmniejszenie poczucia samotności, izolacji; przełamanie </w:t>
      </w:r>
      <w:r>
        <w:rPr>
          <w:sz w:val="24"/>
          <w:szCs w:val="24"/>
          <w:highlight w:val="white"/>
        </w:rPr>
        <w:t xml:space="preserve">monotonii ich życia, dając pretekst do tego, aby o siebie zadbać, „wyjść do ludzi”, ładnie się ubrać, spędzić miło czas, zjeść smaczny posiłek. Spotkania Klubu są czymś, na co można czekać z utęsknieniem. </w:t>
      </w:r>
    </w:p>
    <w:p w14:paraId="00000030" w14:textId="77777777" w:rsidR="001D72E0" w:rsidRDefault="00182B76">
      <w:pPr>
        <w:spacing w:line="360" w:lineRule="auto"/>
        <w:jc w:val="both"/>
        <w:rPr>
          <w:b/>
          <w:color w:val="262626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Specyfiką rozwiązania jest połączenie kilku grup, </w:t>
      </w:r>
      <w:r>
        <w:rPr>
          <w:sz w:val="24"/>
          <w:szCs w:val="24"/>
          <w:highlight w:val="white"/>
        </w:rPr>
        <w:t>przede wszystkim: seniorów i dzieci, które formalnie często są od siebie oddalone, także w kontekście rodzinnym. Innowacja staje się pretekstem dla matek oraz dzieci do wyjścia z domu i spędzenia czasu z innymi rodzicami oraz starszymi osobami. Dzieci, sen</w:t>
      </w:r>
      <w:r>
        <w:rPr>
          <w:sz w:val="24"/>
          <w:szCs w:val="24"/>
          <w:highlight w:val="white"/>
        </w:rPr>
        <w:t>iorzy i matki wchodzą ze sobą w interakcje w ramach określonych zajęć moderowanych przez prowadzące osoby oraz podczas posiłków. Nawiązywanie głębszych relacji pomiędzy poszczególnymi grupami wiekowymi jest jednak utrudnione (wiek dzieci, stopień zaangażow</w:t>
      </w:r>
      <w:r>
        <w:rPr>
          <w:sz w:val="24"/>
          <w:szCs w:val="24"/>
          <w:highlight w:val="white"/>
        </w:rPr>
        <w:t xml:space="preserve">ania rodziców, silna wewnętrzna integracja grupy seniorów) i wymaga czasu oraz dodatkowych działań organizatorów Klubu, pozwalających na głębsze zaangażowanie i integracje opiekunów dzieci. </w:t>
      </w:r>
    </w:p>
    <w:p w14:paraId="00000031" w14:textId="77777777" w:rsidR="001D72E0" w:rsidRDefault="00182B76">
      <w:pPr>
        <w:spacing w:line="360" w:lineRule="auto"/>
        <w:jc w:val="both"/>
        <w:rPr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Skuteczność innowacji polega na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przełamaniu poczucia samotności o</w:t>
      </w:r>
      <w:r>
        <w:rPr>
          <w:sz w:val="24"/>
          <w:szCs w:val="24"/>
          <w:highlight w:val="white"/>
        </w:rPr>
        <w:t>sób starszych zależnych poprzez zbudowanie grupy seniorów, która stanowi dla siebie ważne wsparcie w trakcie zajęć oraz na poszerzeniu grupy o dzieci i ich matki. Cotygodniowe spotkania mają także aspekt usprawniający (niefarmakologiczne formy terapii) i e</w:t>
      </w:r>
      <w:r>
        <w:rPr>
          <w:sz w:val="24"/>
          <w:szCs w:val="24"/>
          <w:highlight w:val="white"/>
        </w:rPr>
        <w:t xml:space="preserve">dukacyjny, pozwalają na ćwiczenie funkcji poznawczych, ćwiczenie mięśni, naukę nowych umiejętności. Dla seniorów to także szansa na zbilansowany, zdrowy posiłek. </w:t>
      </w:r>
    </w:p>
    <w:p w14:paraId="00000032" w14:textId="77777777" w:rsidR="001D72E0" w:rsidRDefault="00182B76">
      <w:pPr>
        <w:spacing w:line="360" w:lineRule="auto"/>
        <w:jc w:val="both"/>
        <w:rPr>
          <w:b/>
          <w:color w:val="0000FF"/>
          <w:sz w:val="24"/>
          <w:szCs w:val="24"/>
        </w:rPr>
      </w:pPr>
      <w:r>
        <w:rPr>
          <w:sz w:val="24"/>
          <w:szCs w:val="24"/>
          <w:highlight w:val="white"/>
        </w:rPr>
        <w:t>Seniorzy wielokrotnie w czasie badania wyrażali głęboką chęć kontynuacji zajęć Międzypokoleni</w:t>
      </w:r>
      <w:r>
        <w:rPr>
          <w:sz w:val="24"/>
          <w:szCs w:val="24"/>
          <w:highlight w:val="white"/>
        </w:rPr>
        <w:t>owego Klubu Aktywności.</w:t>
      </w:r>
    </w:p>
    <w:sectPr w:rsidR="001D72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EE0AF" w14:textId="77777777" w:rsidR="00182B76" w:rsidRDefault="00182B76" w:rsidP="00237EB5">
      <w:pPr>
        <w:spacing w:line="240" w:lineRule="auto"/>
      </w:pPr>
      <w:r>
        <w:separator/>
      </w:r>
    </w:p>
  </w:endnote>
  <w:endnote w:type="continuationSeparator" w:id="0">
    <w:p w14:paraId="62F76BA9" w14:textId="77777777" w:rsidR="00182B76" w:rsidRDefault="00182B76" w:rsidP="00237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5B54C" w14:textId="564F45BD" w:rsidR="00237EB5" w:rsidRDefault="00237EB5">
    <w:pPr>
      <w:pStyle w:val="Stopka"/>
    </w:pPr>
    <w:r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A333EB3" wp14:editId="5AF9271A">
              <wp:simplePos x="0" y="0"/>
              <wp:positionH relativeFrom="column">
                <wp:posOffset>-314325</wp:posOffset>
              </wp:positionH>
              <wp:positionV relativeFrom="page">
                <wp:posOffset>9363075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A1E71" w14:textId="77777777" w:rsidR="00237EB5" w:rsidRPr="000238FE" w:rsidRDefault="00237EB5" w:rsidP="00237EB5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14:paraId="385E9A6F" w14:textId="77777777" w:rsidR="00237EB5" w:rsidRPr="000238FE" w:rsidRDefault="00237EB5" w:rsidP="00237EB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33E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4.75pt;margin-top:737.2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" filled="f" stroked="f">
              <v:textbox>
                <w:txbxContent>
                  <w:p w14:paraId="2BAA1E71" w14:textId="77777777" w:rsidR="00237EB5" w:rsidRPr="000238FE" w:rsidRDefault="00237EB5" w:rsidP="00237EB5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14:paraId="385E9A6F" w14:textId="77777777" w:rsidR="00237EB5" w:rsidRPr="000238FE" w:rsidRDefault="00237EB5" w:rsidP="00237EB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423C9" w14:textId="77777777" w:rsidR="00182B76" w:rsidRDefault="00182B76" w:rsidP="00237EB5">
      <w:pPr>
        <w:spacing w:line="240" w:lineRule="auto"/>
      </w:pPr>
      <w:r>
        <w:separator/>
      </w:r>
    </w:p>
  </w:footnote>
  <w:footnote w:type="continuationSeparator" w:id="0">
    <w:p w14:paraId="13744BEE" w14:textId="77777777" w:rsidR="00182B76" w:rsidRDefault="00182B76" w:rsidP="00237E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A0E28" w14:textId="15C633A9" w:rsidR="00237EB5" w:rsidRDefault="00237EB5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FB89C54" wp14:editId="63A2085A">
          <wp:simplePos x="0" y="0"/>
          <wp:positionH relativeFrom="column">
            <wp:posOffset>0</wp:posOffset>
          </wp:positionH>
          <wp:positionV relativeFrom="paragraph">
            <wp:posOffset>-457200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724E"/>
    <w:multiLevelType w:val="multilevel"/>
    <w:tmpl w:val="BE8CA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E0"/>
    <w:rsid w:val="00182B76"/>
    <w:rsid w:val="001D72E0"/>
    <w:rsid w:val="0023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770895-4C64-4BF1-858F-051E8335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37EB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EB5"/>
  </w:style>
  <w:style w:type="paragraph" w:styleId="Stopka">
    <w:name w:val="footer"/>
    <w:basedOn w:val="Normalny"/>
    <w:link w:val="StopkaZnak"/>
    <w:uiPriority w:val="99"/>
    <w:unhideWhenUsed/>
    <w:rsid w:val="00237EB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1528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Kfr</cp:lastModifiedBy>
  <cp:revision>2</cp:revision>
  <dcterms:created xsi:type="dcterms:W3CDTF">2020-12-04T23:41:00Z</dcterms:created>
  <dcterms:modified xsi:type="dcterms:W3CDTF">2020-12-04T23:41:00Z</dcterms:modified>
</cp:coreProperties>
</file>