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2914"/>
        <w:gridCol w:w="3343"/>
        <w:gridCol w:w="4157"/>
        <w:gridCol w:w="3641"/>
      </w:tblGrid>
      <w:tr w:rsidR="00000000" w:rsidRPr="005F6AF9">
        <w:tc>
          <w:tcPr>
            <w:tcW w:w="1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  <w:r w:rsidRPr="005F6AF9">
              <w:rPr>
                <w:rFonts w:cs="Cambria"/>
                <w:b/>
                <w:bCs/>
                <w:lang w:val="pl-PL"/>
              </w:rPr>
              <w:t>FORMATKA PLANISTYCZNA</w:t>
            </w:r>
            <w:r w:rsidRPr="005F6AF9">
              <w:rPr>
                <w:rFonts w:cs="Cambria"/>
                <w:b/>
                <w:bCs/>
                <w:lang w:val="pl-PL"/>
              </w:rPr>
              <w:br/>
            </w:r>
            <w:r w:rsidRPr="005F6AF9">
              <w:rPr>
                <w:rFonts w:cs="Cambria"/>
                <w:b/>
                <w:bCs/>
                <w:lang w:val="pl-PL"/>
              </w:rPr>
              <w:br/>
              <w:t>(miejsce)…........................................................................................................................ w dn. …....................................... w godz. …...............................</w:t>
            </w: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  <w:r w:rsidRPr="005F6AF9">
              <w:rPr>
                <w:rFonts w:cs="Cambria"/>
                <w:b/>
                <w:bCs/>
                <w:lang w:val="pl-PL"/>
              </w:rPr>
              <w:t>sporządził/a</w:t>
            </w:r>
            <w:r w:rsidRPr="005F6AF9">
              <w:rPr>
                <w:rFonts w:cs="Cambria"/>
                <w:b/>
                <w:bCs/>
                <w:lang w:val="pl-PL"/>
              </w:rPr>
              <w:t>: ….......................................................................................................... Liczba uczestników/czek konsultacji ....................................</w:t>
            </w: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  <w:r w:rsidRPr="005F6AF9">
              <w:rPr>
                <w:rFonts w:cs="Cambria"/>
                <w:b/>
                <w:bCs/>
                <w:lang w:val="pl-PL"/>
              </w:rPr>
              <w:t>Notatka o uczestnikach konsultacji (kto przeważał, kogo zabrakło, jak dł</w:t>
            </w:r>
            <w:r w:rsidRPr="005F6AF9">
              <w:rPr>
                <w:rFonts w:cs="Cambria"/>
                <w:b/>
                <w:bCs/>
                <w:lang w:val="pl-PL"/>
              </w:rPr>
              <w:t>ugo trwały rozmowy itp.):</w:t>
            </w: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  <w:r w:rsidRPr="005F6AF9">
              <w:rPr>
                <w:rFonts w:cs="Cambria"/>
                <w:b/>
                <w:bCs/>
                <w:lang w:val="pl-PL"/>
              </w:rPr>
              <w:t>Ogólne uwagi dot. Konsultacji (zainteresowanie tematem, atmosfera, sytuacje problematyczne, uwagi odnośnie organizacji punktu konsultacyjnego itp.):</w:t>
            </w: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pStyle w:val="Nagwek"/>
              <w:rPr>
                <w:rFonts w:cs="Cambria"/>
                <w:b/>
                <w:bCs/>
                <w:lang w:val="pl-PL"/>
              </w:rPr>
            </w:pP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b/>
                <w:bCs/>
                <w:sz w:val="22"/>
                <w:szCs w:val="22"/>
                <w:lang w:val="pl-PL"/>
              </w:rPr>
              <w:t>Informacja wstępna (podpowiedź jak informować mieszkańców)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t xml:space="preserve">: np. </w:t>
            </w:r>
            <w:r w:rsidRPr="005F6AF9">
              <w:rPr>
                <w:rFonts w:cs="Cambria"/>
                <w:i/>
                <w:iCs/>
                <w:sz w:val="22"/>
                <w:szCs w:val="22"/>
                <w:lang w:val="pl-PL"/>
              </w:rPr>
              <w:t>Urząd Mi</w:t>
            </w:r>
            <w:r w:rsidRPr="005F6AF9">
              <w:rPr>
                <w:rFonts w:cs="Cambria"/>
                <w:i/>
                <w:iCs/>
                <w:sz w:val="22"/>
                <w:szCs w:val="22"/>
                <w:lang w:val="pl-PL"/>
              </w:rPr>
              <w:t>asta przystępuje do uchwalenia planu miejscowego dla tej okolicy, czyli ustalenia przeznaczenia terenów oraz określenia sposobów ich zagospodarowania i zabudowy . Zbieramy opinie i potrzeby mieszkańców oraz ludzi, którzy związani są z okolicą, aby plan jak</w:t>
            </w:r>
            <w:r w:rsidRPr="005F6AF9">
              <w:rPr>
                <w:rFonts w:cs="Cambria"/>
                <w:i/>
                <w:iCs/>
                <w:sz w:val="22"/>
                <w:szCs w:val="22"/>
                <w:lang w:val="pl-PL"/>
              </w:rPr>
              <w:t xml:space="preserve"> najlepiej odpowiadał oczekiwaniom.</w:t>
            </w:r>
          </w:p>
          <w:p w:rsidR="00000000" w:rsidRPr="005F6AF9" w:rsidRDefault="007D311F">
            <w:pPr>
              <w:ind w:right="-1767"/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ind w:right="-1767"/>
              <w:rPr>
                <w:rFonts w:cs="Cambria"/>
                <w:sz w:val="22"/>
                <w:szCs w:val="22"/>
                <w:lang w:val="pl-PL"/>
              </w:rPr>
            </w:pPr>
            <w:bookmarkStart w:id="0" w:name="_GoBack"/>
            <w:bookmarkEnd w:id="0"/>
          </w:p>
          <w:p w:rsidR="00000000" w:rsidRPr="005F6AF9" w:rsidRDefault="007D311F">
            <w:pPr>
              <w:ind w:right="-1767"/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ind w:right="-1767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lastRenderedPageBreak/>
              <w:t>Zagadnienie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Problemy jakie widzą mieszkańcy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Cele, czyli co chcieliby mieszkańcy</w:t>
            </w:r>
          </w:p>
          <w:p w:rsidR="00000000" w:rsidRDefault="007D311F">
            <w:pPr>
              <w:rPr>
                <w:rFonts w:cs="Cambria"/>
                <w:b/>
                <w:bCs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ind w:right="-1767"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 xml:space="preserve">Komentarz </w:t>
            </w:r>
          </w:p>
          <w:p w:rsidR="00000000" w:rsidRDefault="007D311F">
            <w:pPr>
              <w:ind w:right="-1767"/>
            </w:pPr>
            <w:r>
              <w:rPr>
                <w:rFonts w:cs="Cambria"/>
                <w:b/>
                <w:bCs/>
              </w:rPr>
              <w:t>planistów (studentów)</w:t>
            </w:r>
          </w:p>
        </w:tc>
      </w:tr>
      <w:tr w:rsidR="00000000">
        <w:tc>
          <w:tcPr>
            <w:tcW w:w="1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pacing w:before="240" w:after="240"/>
              <w:jc w:val="center"/>
            </w:pPr>
            <w:r>
              <w:rPr>
                <w:rFonts w:cs="Cambria"/>
                <w:sz w:val="22"/>
                <w:szCs w:val="22"/>
              </w:rPr>
              <w:t>uwarunkowania funkcjonalno-przestrzenne</w:t>
            </w: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 xml:space="preserve">funkcje przestrzeni 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(także otoczenia analizowanego terenu)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684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 xml:space="preserve">funkcje </w:t>
            </w:r>
            <w:r w:rsidRPr="005F6AF9">
              <w:rPr>
                <w:rFonts w:cs="Cambria"/>
                <w:color w:val="000000"/>
                <w:sz w:val="22"/>
                <w:szCs w:val="22"/>
                <w:lang w:val="pl-PL"/>
              </w:rPr>
              <w:t>istniejącej zabudowy: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mieszkaniowa, usługowa, produkcyjna itp.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pStyle w:val="ListParagraph"/>
              <w:numPr>
                <w:ilvl w:val="0"/>
                <w:numId w:val="0"/>
              </w:numPr>
              <w:snapToGrid w:val="0"/>
              <w:ind w:left="2061"/>
              <w:rPr>
                <w:rFonts w:ascii="Cambria" w:hAnsi="Cambria"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gabaryty i struktura istniejącej zabudowy: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np. zabudowa wielorodzinna, a jednorodzinna, zabudowa kwartałowa czy punktowa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pStyle w:val="ListParagraph"/>
              <w:numPr>
                <w:ilvl w:val="0"/>
                <w:numId w:val="0"/>
              </w:numPr>
              <w:snapToGrid w:val="0"/>
              <w:ind w:left="2061"/>
              <w:rPr>
                <w:rFonts w:ascii="Cambria" w:hAnsi="Cambria"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lastRenderedPageBreak/>
              <w:t xml:space="preserve">stan istniejącej zabudowy: 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br/>
              <w:t>np. budynki do wyburz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t>enia, budynki wartościowe architektonicznie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pStyle w:val="ListParagraph"/>
              <w:numPr>
                <w:ilvl w:val="0"/>
                <w:numId w:val="0"/>
              </w:numPr>
              <w:snapToGrid w:val="0"/>
              <w:ind w:left="2061"/>
              <w:rPr>
                <w:rFonts w:ascii="Cambria" w:hAnsi="Cambria"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ład przestrzenny (osie widokowe, dominanty przestrzenne pozytywne i negatywne, charakter architektury, ograniczenia sytuowania reklam)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zasady tymczasowego użytkowania terenów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(np. festyny rodzinne, święt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t>a ulicy)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t>miejsca handlu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lastRenderedPageBreak/>
              <w:t>kwestie własności gruntów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  <w:tr w:rsidR="00000000">
        <w:tc>
          <w:tcPr>
            <w:tcW w:w="1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pacing w:before="240" w:after="240"/>
              <w:jc w:val="center"/>
            </w:pPr>
            <w:r>
              <w:rPr>
                <w:rFonts w:cs="Cambria"/>
                <w:sz w:val="22"/>
                <w:szCs w:val="22"/>
              </w:rPr>
              <w:t>Uwarunkowania przyrodnicze</w:t>
            </w: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t xml:space="preserve">przyroda, która podlega ochronie 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t>zielone tereny rekreacyjne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t>rzeźba terenu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  <w:tr w:rsidR="00000000">
        <w:tc>
          <w:tcPr>
            <w:tcW w:w="1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pacing w:before="240" w:after="240"/>
              <w:jc w:val="center"/>
            </w:pPr>
            <w:r>
              <w:rPr>
                <w:rFonts w:cs="Cambria"/>
                <w:sz w:val="22"/>
                <w:szCs w:val="22"/>
              </w:rPr>
              <w:lastRenderedPageBreak/>
              <w:t>Uwarunkowania komunikacyjne</w:t>
            </w: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 xml:space="preserve">ulice: 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br/>
              <w:t>- układ ulic o różnych klasach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-ście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t>żki, którymi poruszają się mieszkańcy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-zagrożenia związane z ruchem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trasy komunikacji publicznej, dostęp do przystanków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parkingi (dla mieszkańców, biur, sklepów)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>
        <w:tc>
          <w:tcPr>
            <w:tcW w:w="1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pacing w:before="240" w:after="240"/>
              <w:jc w:val="center"/>
            </w:pPr>
            <w:r>
              <w:rPr>
                <w:rFonts w:cs="Cambria"/>
                <w:sz w:val="22"/>
                <w:szCs w:val="22"/>
              </w:rPr>
              <w:lastRenderedPageBreak/>
              <w:t>Uwarunkowania społeczne</w:t>
            </w: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miejsca szczególnie istotne ze względu na życie spo</w:t>
            </w:r>
            <w:r w:rsidRPr="005F6AF9">
              <w:rPr>
                <w:rFonts w:cs="Cambria"/>
                <w:sz w:val="22"/>
                <w:szCs w:val="22"/>
                <w:lang w:val="pl-PL"/>
              </w:rPr>
              <w:t>łeczności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Dźwięki (miejsca o dużym i małym natężeniu hałasu)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 w:rsidRPr="005F6AF9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Bezpieczeństwo (np. Oświetlenie po zmroku, użytkownicy przestrzeni)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snapToGrid w:val="0"/>
              <w:rPr>
                <w:rFonts w:cs="Cambria"/>
                <w:sz w:val="22"/>
                <w:szCs w:val="22"/>
                <w:lang w:val="pl-PL"/>
              </w:rPr>
            </w:pPr>
          </w:p>
        </w:tc>
      </w:tr>
      <w:tr w:rsidR="00000000">
        <w:trPr>
          <w:trHeight w:val="141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Dostęp do usług społecznych: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 szkoły podstawowe i licea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 przedszkola i żłobki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 kultura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t>- sport</w:t>
            </w:r>
          </w:p>
          <w:p w:rsidR="00000000" w:rsidRPr="005F6AF9" w:rsidRDefault="007D311F">
            <w:pPr>
              <w:rPr>
                <w:rFonts w:cs="Cambria"/>
                <w:sz w:val="22"/>
                <w:szCs w:val="22"/>
                <w:lang w:val="pl-PL"/>
              </w:rPr>
            </w:pPr>
            <w:r w:rsidRPr="005F6AF9">
              <w:rPr>
                <w:rFonts w:cs="Cambria"/>
                <w:sz w:val="22"/>
                <w:szCs w:val="22"/>
                <w:lang w:val="pl-PL"/>
              </w:rPr>
              <w:lastRenderedPageBreak/>
              <w:t>- zdrowie</w:t>
            </w:r>
          </w:p>
          <w:p w:rsidR="00000000" w:rsidRDefault="007D311F">
            <w:pPr>
              <w:rPr>
                <w:rFonts w:cs="Cambria"/>
                <w:sz w:val="22"/>
                <w:szCs w:val="22"/>
              </w:rPr>
            </w:pPr>
            <w:r>
              <w:rPr>
                <w:rFonts w:cs="Cambria"/>
                <w:sz w:val="22"/>
                <w:szCs w:val="22"/>
              </w:rPr>
              <w:t>- zi</w:t>
            </w:r>
            <w:r>
              <w:rPr>
                <w:rFonts w:cs="Cambria"/>
                <w:sz w:val="22"/>
                <w:szCs w:val="22"/>
              </w:rPr>
              <w:t>eleń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311F">
            <w:pPr>
              <w:snapToGrid w:val="0"/>
              <w:rPr>
                <w:rFonts w:cs="Cambria"/>
                <w:sz w:val="22"/>
                <w:szCs w:val="22"/>
              </w:rPr>
            </w:pPr>
          </w:p>
        </w:tc>
      </w:tr>
    </w:tbl>
    <w:p w:rsidR="00000000" w:rsidRDefault="007D311F"/>
    <w:p w:rsidR="00000000" w:rsidRDefault="007D311F">
      <w:pPr>
        <w:pStyle w:val="Tekstpodstawowy"/>
        <w:spacing w:after="0" w:line="331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///</w:t>
      </w:r>
    </w:p>
    <w:p w:rsidR="00000000" w:rsidRPr="005F6AF9" w:rsidRDefault="007D311F">
      <w:pPr>
        <w:pStyle w:val="Tekstpodstawowy"/>
        <w:spacing w:after="0" w:line="331" w:lineRule="auto"/>
        <w:rPr>
          <w:lang w:val="pl-PL"/>
        </w:rPr>
      </w:pPr>
      <w:bookmarkStart w:id="1" w:name="docs-internal-guid-a6efdcba-7fff-2b51-8d"/>
      <w:bookmarkEnd w:id="1"/>
      <w:r w:rsidRPr="005F6AF9">
        <w:rPr>
          <w:i/>
          <w:color w:val="000000"/>
          <w:sz w:val="22"/>
          <w:lang w:val="pl-PL"/>
        </w:rPr>
        <w:t>Właścicielem autorskich praw majątkowych do niniejszego Utworu jest Skarb Państwa – Ministerstwo Rozwoju. W celu uzyskania prawa do korzystania z autorskich praw majątkowych do niniejszego Utworu dla dowolnego celu, również komercyjnego, nale</w:t>
      </w:r>
      <w:r w:rsidRPr="005F6AF9">
        <w:rPr>
          <w:i/>
          <w:color w:val="000000"/>
          <w:sz w:val="22"/>
          <w:lang w:val="pl-PL"/>
        </w:rPr>
        <w:t>ży zwrócić się o przyznanie licencji na wykorzystanie tych praw do ich właściciela. Licencja ta zostanie udzielona nieodpłatnie.</w:t>
      </w:r>
    </w:p>
    <w:p w:rsidR="00000000" w:rsidRPr="005F6AF9" w:rsidRDefault="007D311F">
      <w:pPr>
        <w:pStyle w:val="Tekstpodstawowy"/>
        <w:rPr>
          <w:lang w:val="pl-PL"/>
        </w:rPr>
      </w:pPr>
    </w:p>
    <w:p w:rsidR="00000000" w:rsidRPr="005F6AF9" w:rsidRDefault="007D311F">
      <w:pPr>
        <w:pStyle w:val="Tekstpodstawowy"/>
        <w:spacing w:after="0" w:line="331" w:lineRule="auto"/>
        <w:jc w:val="both"/>
        <w:rPr>
          <w:lang w:val="pl-PL"/>
        </w:rPr>
      </w:pPr>
      <w:r w:rsidRPr="005F6AF9">
        <w:rPr>
          <w:i/>
          <w:color w:val="000000"/>
          <w:sz w:val="22"/>
          <w:lang w:val="pl-PL"/>
        </w:rPr>
        <w:t>Rozpowszechniając lub publicznie wykonując niniejszy Utwór lub jakikolwiek utwór zależny, licencjobiorca jest zobowiązany zach</w:t>
      </w:r>
      <w:r w:rsidRPr="005F6AF9">
        <w:rPr>
          <w:i/>
          <w:color w:val="000000"/>
          <w:sz w:val="22"/>
          <w:lang w:val="pl-PL"/>
        </w:rPr>
        <w:t>ować w stanie nienaruszonym wszelkie oznaczenia związane z prawno-autorską ochroną Utworu oraz zapewnić, stosownie do możliwości używanego nośnika lub środka przekazu oznaczenie, a w przypadku utworu zależnego, oznaczenie wskazujące na wykorzystanie Utworu</w:t>
      </w:r>
      <w:r w:rsidRPr="005F6AF9">
        <w:rPr>
          <w:i/>
          <w:color w:val="000000"/>
          <w:sz w:val="22"/>
          <w:lang w:val="pl-PL"/>
        </w:rPr>
        <w:t xml:space="preserve"> w utworze zależnym (np. "francuskie tłumaczenie Utworu Twórcy," lub "koncepcja na podstawie Utworu Twórcy").</w:t>
      </w:r>
    </w:p>
    <w:p w:rsidR="00000000" w:rsidRPr="005F6AF9" w:rsidRDefault="007D311F">
      <w:pPr>
        <w:pStyle w:val="Tekstpodstawowy"/>
        <w:rPr>
          <w:lang w:val="pl-PL"/>
        </w:rPr>
      </w:pPr>
    </w:p>
    <w:p w:rsidR="00000000" w:rsidRPr="005F6AF9" w:rsidRDefault="007D311F">
      <w:pPr>
        <w:pStyle w:val="Tekstpodstawowy"/>
        <w:spacing w:after="0" w:line="331" w:lineRule="auto"/>
        <w:rPr>
          <w:i/>
          <w:color w:val="000000"/>
          <w:sz w:val="22"/>
          <w:lang w:val="pl-PL"/>
        </w:rPr>
      </w:pPr>
      <w:r w:rsidRPr="005F6AF9">
        <w:rPr>
          <w:i/>
          <w:color w:val="000000"/>
          <w:sz w:val="22"/>
          <w:lang w:val="pl-PL"/>
        </w:rPr>
        <w:t>Twórcy i Twórczynie:</w:t>
      </w:r>
    </w:p>
    <w:p w:rsidR="00000000" w:rsidRPr="005F6AF9" w:rsidRDefault="007D311F">
      <w:pPr>
        <w:pStyle w:val="Tekstpodstawowy"/>
        <w:spacing w:after="0" w:line="331" w:lineRule="auto"/>
        <w:rPr>
          <w:i/>
          <w:color w:val="000000"/>
          <w:sz w:val="22"/>
          <w:lang w:val="pl-PL"/>
        </w:rPr>
      </w:pPr>
      <w:r w:rsidRPr="005F6AF9">
        <w:rPr>
          <w:i/>
          <w:color w:val="000000"/>
          <w:sz w:val="22"/>
          <w:lang w:val="pl-PL"/>
        </w:rPr>
        <w:t>Magdalena Kubecka</w:t>
      </w:r>
      <w:r w:rsidRPr="005F6AF9">
        <w:rPr>
          <w:i/>
          <w:color w:val="000000"/>
          <w:sz w:val="22"/>
          <w:lang w:val="pl-PL"/>
        </w:rPr>
        <w:br/>
        <w:t xml:space="preserve">Marta Trakul-Masłowska </w:t>
      </w:r>
    </w:p>
    <w:p w:rsidR="00000000" w:rsidRDefault="007D311F">
      <w:pPr>
        <w:pStyle w:val="Tekstpodstawowy"/>
        <w:spacing w:after="0" w:line="331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Agnieszka Cieśla </w:t>
      </w:r>
    </w:p>
    <w:p w:rsidR="00000000" w:rsidRDefault="007D311F">
      <w:pPr>
        <w:pStyle w:val="Tekstpodstawowy"/>
        <w:spacing w:after="0" w:line="331" w:lineRule="auto"/>
        <w:rPr>
          <w:i/>
          <w:color w:val="000000"/>
          <w:sz w:val="22"/>
        </w:rPr>
      </w:pPr>
    </w:p>
    <w:p w:rsidR="00000000" w:rsidRDefault="007D311F">
      <w:pPr>
        <w:pStyle w:val="Tekstpodstawowy"/>
        <w:spacing w:after="0" w:line="331" w:lineRule="auto"/>
        <w:rPr>
          <w:i/>
          <w:color w:val="000000"/>
          <w:sz w:val="22"/>
        </w:rPr>
      </w:pPr>
    </w:p>
    <w:p w:rsidR="00000000" w:rsidRPr="005F6AF9" w:rsidRDefault="007D311F">
      <w:pPr>
        <w:pStyle w:val="Tekstpodstawowy"/>
        <w:spacing w:after="0" w:line="331" w:lineRule="auto"/>
        <w:rPr>
          <w:lang w:val="pl-PL"/>
        </w:rPr>
      </w:pPr>
      <w:r w:rsidRPr="005F6AF9">
        <w:rPr>
          <w:i/>
          <w:color w:val="000000"/>
          <w:sz w:val="22"/>
          <w:lang w:val="pl-PL"/>
        </w:rPr>
        <w:t xml:space="preserve">Formularz planistyczny jest wynikiem i podsumowaniem projektu </w:t>
      </w:r>
      <w:r w:rsidRPr="005F6AF9">
        <w:rPr>
          <w:i/>
          <w:color w:val="000000"/>
          <w:sz w:val="22"/>
          <w:lang w:val="pl-PL"/>
        </w:rPr>
        <w:t>innowacyjnego Budka Planistyczna zrealizowanego przez Magdaleną Kubecką i Martę Trakul-Masłowską w ramach Inkubatora Innowacji Społecznych TransferHUB (</w:t>
      </w:r>
      <w:hyperlink r:id="rId7" w:history="1">
        <w:r>
          <w:rPr>
            <w:rStyle w:val="Hipercze"/>
            <w:i/>
            <w:color w:val="1155CC"/>
            <w:sz w:val="22"/>
          </w:rPr>
          <w:t>www.transferhub.pl</w:t>
        </w:r>
      </w:hyperlink>
      <w:r w:rsidRPr="005F6AF9">
        <w:rPr>
          <w:i/>
          <w:color w:val="000000"/>
          <w:sz w:val="22"/>
          <w:lang w:val="pl-PL"/>
        </w:rPr>
        <w:t>) prowadzonego przez Fundację Inicjatyw Spo</w:t>
      </w:r>
      <w:r w:rsidRPr="005F6AF9">
        <w:rPr>
          <w:i/>
          <w:color w:val="000000"/>
          <w:sz w:val="22"/>
          <w:lang w:val="pl-PL"/>
        </w:rPr>
        <w:t>łeczno-Ekonomicznych FISE&gt;, PwC Polska Spółka z o.o. oraz Fundację Pracownię Badań i Innowacji Społecznych „Stocznia”  współfinansowanego z Programu Operacyjnego Wiedza Edukacja Rozwój w ramach Funduszy Europejskich.</w:t>
      </w:r>
    </w:p>
    <w:p w:rsidR="00000000" w:rsidRPr="005F6AF9" w:rsidRDefault="007D311F">
      <w:pPr>
        <w:pStyle w:val="Tekstpodstawowy"/>
        <w:rPr>
          <w:lang w:val="pl-PL"/>
        </w:rPr>
      </w:pPr>
      <w:r w:rsidRPr="005F6AF9">
        <w:rPr>
          <w:lang w:val="pl-PL"/>
        </w:rPr>
        <w:br/>
      </w:r>
    </w:p>
    <w:p w:rsidR="00000000" w:rsidRPr="005F6AF9" w:rsidRDefault="007D311F">
      <w:pPr>
        <w:pStyle w:val="Tekstpodstawowy"/>
        <w:spacing w:after="0" w:line="331" w:lineRule="auto"/>
        <w:rPr>
          <w:lang w:val="pl-PL"/>
        </w:rPr>
      </w:pPr>
    </w:p>
    <w:p w:rsidR="007D311F" w:rsidRPr="005F6AF9" w:rsidRDefault="007D311F">
      <w:pPr>
        <w:pStyle w:val="Tekstpodstawowy"/>
        <w:rPr>
          <w:lang w:val="pl-PL"/>
        </w:rPr>
      </w:pPr>
      <w:r w:rsidRPr="005F6AF9">
        <w:rPr>
          <w:lang w:val="pl-PL"/>
        </w:rPr>
        <w:br/>
      </w:r>
    </w:p>
    <w:sectPr w:rsidR="007D311F" w:rsidRPr="005F6AF9" w:rsidSect="005F6AF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2562" w:right="1134" w:bottom="2607" w:left="1644" w:header="67" w:footer="54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1F" w:rsidRDefault="007D311F">
      <w:r>
        <w:separator/>
      </w:r>
    </w:p>
  </w:endnote>
  <w:endnote w:type="continuationSeparator" w:id="0">
    <w:p w:rsidR="007D311F" w:rsidRDefault="007D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EE"/>
    <w:family w:val="auto"/>
    <w:pitch w:val="variable"/>
  </w:font>
  <w:font w:name="Lucida Grande CE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 Bold"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MT">
    <w:charset w:val="EE"/>
    <w:family w:val="swiss"/>
    <w:pitch w:val="variable"/>
  </w:font>
  <w:font w:name="Poppins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311F">
    <w:pPr>
      <w:pStyle w:val="Stopka0"/>
      <w:tabs>
        <w:tab w:val="clear" w:pos="4153"/>
        <w:tab w:val="clear" w:pos="8306"/>
        <w:tab w:val="right" w:pos="9122"/>
      </w:tabs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F9" w:rsidRPr="005F6AF9" w:rsidRDefault="00FF7BDD" w:rsidP="005F6AF9">
    <w:pPr>
      <w:pStyle w:val="Stopka0"/>
      <w:tabs>
        <w:tab w:val="right" w:pos="9122"/>
      </w:tabs>
      <w:jc w:val="both"/>
      <w:rPr>
        <w:sz w:val="18"/>
        <w:szCs w:val="18"/>
        <w:lang w:val="pl"/>
      </w:rPr>
    </w:pPr>
    <w:r w:rsidRPr="005F6AF9"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1198245</wp:posOffset>
              </wp:positionH>
              <wp:positionV relativeFrom="paragraph">
                <wp:posOffset>-91440</wp:posOffset>
              </wp:positionV>
              <wp:extent cx="5815330" cy="418465"/>
              <wp:effectExtent l="0" t="0" r="0" b="63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5330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AF9" w:rsidRPr="009B49E4" w:rsidRDefault="005F6AF9" w:rsidP="005F6AF9">
                          <w:pPr>
                            <w:rPr>
                              <w:rFonts w:ascii="Calibri Light" w:hAnsi="Calibri Light" w:cs="Calibri Light"/>
                              <w:sz w:val="12"/>
                              <w:szCs w:val="12"/>
                              <w:lang w:val="pl-PL"/>
                            </w:rPr>
                          </w:pP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Inkubator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TransferHUB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prowadzą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: Fundacja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Inicjatyw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Społeczno-Ekonomicznych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, PwC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Polska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spółka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z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o.o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.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oraz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Pracownia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Badań 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i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Innowacji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B95ED5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 xml:space="preserve">Społecznych </w:t>
                          </w:r>
                          <w:r w:rsidRPr="009B49E4">
                            <w:rPr>
                              <w:rFonts w:ascii="Calibri Light" w:hAnsi="Calibri Light" w:cs="Calibri Light"/>
                              <w:sz w:val="12"/>
                              <w:szCs w:val="12"/>
                              <w:lang w:val="pl-PL"/>
                            </w:rPr>
                            <w:t>„</w:t>
                          </w:r>
                          <w:r w:rsidRPr="00BC135A">
                            <w:rPr>
                              <w:rFonts w:ascii="Poppins Light" w:hAnsi="Poppins Light" w:cs="Poppins Light"/>
                              <w:sz w:val="12"/>
                              <w:szCs w:val="12"/>
                              <w:lang w:val="pl-PL"/>
                            </w:rPr>
                            <w:t>Stocznia</w:t>
                          </w:r>
                          <w:r w:rsidRPr="009B49E4">
                            <w:rPr>
                              <w:rFonts w:ascii="Calibri Light" w:hAnsi="Calibri Light" w:cs="Calibri Light"/>
                              <w:sz w:val="12"/>
                              <w:szCs w:val="12"/>
                              <w:lang w:val="pl-PL"/>
                            </w:rPr>
                            <w:t>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4.35pt;margin-top:-7.2pt;width:457.9pt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" stroked="f">
              <v:textbox>
                <w:txbxContent>
                  <w:p w:rsidR="005F6AF9" w:rsidRPr="009B49E4" w:rsidRDefault="005F6AF9" w:rsidP="005F6AF9">
                    <w:pPr>
                      <w:rPr>
                        <w:rFonts w:ascii="Calibri Light" w:hAnsi="Calibri Light" w:cs="Calibri Light"/>
                        <w:sz w:val="12"/>
                        <w:szCs w:val="12"/>
                        <w:lang w:val="pl-PL"/>
                      </w:rPr>
                    </w:pP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Inkubator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TransferHUB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prowadzą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: Fundacja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Inicjatyw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Społeczno-Ekonomicznych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, PwC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Polska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spółka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z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o.o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.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oraz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Pracownia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Badań 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i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Innowacji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B95ED5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 xml:space="preserve">Społecznych </w:t>
                    </w:r>
                    <w:r w:rsidRPr="009B49E4">
                      <w:rPr>
                        <w:rFonts w:ascii="Calibri Light" w:hAnsi="Calibri Light" w:cs="Calibri Light"/>
                        <w:sz w:val="12"/>
                        <w:szCs w:val="12"/>
                        <w:lang w:val="pl-PL"/>
                      </w:rPr>
                      <w:t>„</w:t>
                    </w:r>
                    <w:r w:rsidRPr="00BC135A">
                      <w:rPr>
                        <w:rFonts w:ascii="Poppins Light" w:hAnsi="Poppins Light" w:cs="Poppins Light"/>
                        <w:sz w:val="12"/>
                        <w:szCs w:val="12"/>
                        <w:lang w:val="pl-PL"/>
                      </w:rPr>
                      <w:t>Stocznia</w:t>
                    </w:r>
                    <w:r w:rsidRPr="009B49E4">
                      <w:rPr>
                        <w:rFonts w:ascii="Calibri Light" w:hAnsi="Calibri Light" w:cs="Calibri Light"/>
                        <w:sz w:val="12"/>
                        <w:szCs w:val="12"/>
                        <w:lang w:val="pl-PL"/>
                      </w:rPr>
                      <w:t>”.</w:t>
                    </w:r>
                  </w:p>
                </w:txbxContent>
              </v:textbox>
            </v:shape>
          </w:pict>
        </mc:Fallback>
      </mc:AlternateContent>
    </w:r>
    <w:r w:rsidRPr="005F6AF9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7160895</wp:posOffset>
          </wp:positionH>
          <wp:positionV relativeFrom="paragraph">
            <wp:posOffset>-182880</wp:posOffset>
          </wp:positionV>
          <wp:extent cx="1774190" cy="525145"/>
          <wp:effectExtent l="0" t="0" r="0" b="8255"/>
          <wp:wrapThrough wrapText="bothSides">
            <wp:wrapPolygon edited="0">
              <wp:start x="0" y="0"/>
              <wp:lineTo x="0" y="21156"/>
              <wp:lineTo x="21337" y="21156"/>
              <wp:lineTo x="21337" y="0"/>
              <wp:lineTo x="0" y="0"/>
            </wp:wrapPolygon>
          </wp:wrapThrough>
          <wp:docPr id="19" name="Obraz 1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_EFS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AF9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-144780</wp:posOffset>
          </wp:positionV>
          <wp:extent cx="1241425" cy="569595"/>
          <wp:effectExtent l="0" t="0" r="0" b="1905"/>
          <wp:wrapThrough wrapText="bothSides">
            <wp:wrapPolygon edited="0">
              <wp:start x="0" y="0"/>
              <wp:lineTo x="0" y="20950"/>
              <wp:lineTo x="21213" y="20950"/>
              <wp:lineTo x="21213" y="0"/>
              <wp:lineTo x="0" y="0"/>
            </wp:wrapPolygon>
          </wp:wrapThrough>
          <wp:docPr id="3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AF9">
      <w:rPr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6432" behindDoc="1" locked="0" layoutInCell="1" allowOverlap="1">
              <wp:simplePos x="0" y="0"/>
              <wp:positionH relativeFrom="column">
                <wp:posOffset>1235710</wp:posOffset>
              </wp:positionH>
              <wp:positionV relativeFrom="paragraph">
                <wp:posOffset>-119381</wp:posOffset>
              </wp:positionV>
              <wp:extent cx="6124575" cy="0"/>
              <wp:effectExtent l="0" t="0" r="28575" b="19050"/>
              <wp:wrapNone/>
              <wp:docPr id="2" name="Łącznik prost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8BB9A" id="Łącznik prosty 20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7.3pt,-9.4pt" to="579.5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" strokecolor="windowText" strokeweight=".5pt">
              <v:stroke joinstyle="miter"/>
              <o:lock v:ext="edit" shapetype="f"/>
            </v:line>
          </w:pict>
        </mc:Fallback>
      </mc:AlternateContent>
    </w:r>
    <w:r w:rsidRPr="005F6AF9"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13547725</wp:posOffset>
              </wp:positionH>
              <wp:positionV relativeFrom="page">
                <wp:posOffset>1739900</wp:posOffset>
              </wp:positionV>
              <wp:extent cx="822960" cy="288925"/>
              <wp:effectExtent l="0" t="0" r="0" b="0"/>
              <wp:wrapNone/>
              <wp:docPr id="1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AF9" w:rsidRDefault="005F6AF9" w:rsidP="005F6AF9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rPr>
                              <w:lang w:val="pl-PL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F7BDD" w:rsidRPr="00FF7BDD">
                            <w:rPr>
                              <w:noProof/>
                              <w:lang w:val="pl-PL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7" style="position:absolute;left:0;text-align:left;margin-left:1066.75pt;margin-top:137pt;width:64.8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" o:allowincell="f" stroked="f">
              <v:textbox style="mso-fit-shape-to-text:t" inset="0,,0">
                <w:txbxContent>
                  <w:p w:rsidR="005F6AF9" w:rsidRDefault="005F6AF9" w:rsidP="005F6AF9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rPr>
                        <w:lang w:val="pl-PL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F7BDD" w:rsidRPr="00FF7BDD">
                      <w:rPr>
                        <w:noProof/>
                        <w:lang w:val="pl-PL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6AF9" w:rsidRPr="005F6AF9" w:rsidRDefault="005F6AF9" w:rsidP="005F6AF9">
    <w:pPr>
      <w:pStyle w:val="Stopka0"/>
      <w:tabs>
        <w:tab w:val="right" w:pos="9122"/>
      </w:tabs>
      <w:jc w:val="both"/>
      <w:rPr>
        <w:sz w:val="18"/>
        <w:szCs w:val="18"/>
        <w:lang w:val="pl"/>
      </w:rPr>
    </w:pPr>
  </w:p>
  <w:p w:rsidR="005F6AF9" w:rsidRPr="005F6AF9" w:rsidRDefault="005F6AF9" w:rsidP="005F6AF9">
    <w:pPr>
      <w:pStyle w:val="Stopka0"/>
      <w:tabs>
        <w:tab w:val="right" w:pos="9122"/>
      </w:tabs>
      <w:jc w:val="both"/>
      <w:rPr>
        <w:sz w:val="18"/>
        <w:szCs w:val="18"/>
      </w:rPr>
    </w:pPr>
    <w:r w:rsidRPr="005F6AF9">
      <w:rPr>
        <w:sz w:val="18"/>
        <w:szCs w:val="18"/>
      </w:rPr>
      <w:t xml:space="preserve"> </w:t>
    </w:r>
  </w:p>
  <w:p w:rsidR="005F6AF9" w:rsidRPr="005F6AF9" w:rsidRDefault="005F6AF9" w:rsidP="005F6AF9">
    <w:pPr>
      <w:pStyle w:val="Stopka0"/>
      <w:rPr>
        <w:sz w:val="18"/>
        <w:szCs w:val="18"/>
      </w:rPr>
    </w:pPr>
    <w:r w:rsidRPr="005F6AF9">
      <w:rPr>
        <w:sz w:val="18"/>
        <w:szCs w:val="18"/>
      </w:rPr>
      <w:tab/>
    </w:r>
  </w:p>
  <w:p w:rsidR="005F6AF9" w:rsidRPr="005F6AF9" w:rsidRDefault="005F6AF9" w:rsidP="005F6AF9">
    <w:pPr>
      <w:pStyle w:val="Stopka0"/>
      <w:tabs>
        <w:tab w:val="clear" w:pos="4153"/>
        <w:tab w:val="clear" w:pos="8306"/>
        <w:tab w:val="right" w:pos="9122"/>
      </w:tabs>
      <w:jc w:val="both"/>
      <w:rPr>
        <w:sz w:val="18"/>
        <w:szCs w:val="18"/>
      </w:rPr>
    </w:pPr>
  </w:p>
  <w:p w:rsidR="00000000" w:rsidRDefault="007D311F">
    <w:pPr>
      <w:pStyle w:val="Stopka0"/>
      <w:tabs>
        <w:tab w:val="clear" w:pos="4153"/>
        <w:tab w:val="clear" w:pos="8306"/>
        <w:tab w:val="right" w:pos="9122"/>
      </w:tabs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1F" w:rsidRDefault="007D311F">
      <w:r>
        <w:separator/>
      </w:r>
    </w:p>
  </w:footnote>
  <w:footnote w:type="continuationSeparator" w:id="0">
    <w:p w:rsidR="007D311F" w:rsidRDefault="007D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311F">
    <w:pPr>
      <w:pStyle w:val="Nagwek"/>
      <w:jc w:val="right"/>
    </w:pPr>
  </w:p>
  <w:p w:rsidR="00000000" w:rsidRDefault="007D311F">
    <w:pPr>
      <w:pStyle w:val="Nagwek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5F6AF9">
      <w:rPr>
        <w:noProof/>
      </w:rPr>
      <w:t>8</w:t>
    </w:r>
    <w:r>
      <w:fldChar w:fldCharType="end"/>
    </w:r>
    <w:r w:rsidR="00FF7BDD"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42545</wp:posOffset>
          </wp:positionV>
          <wp:extent cx="7554595" cy="1433830"/>
          <wp:effectExtent l="0" t="0" r="825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433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311F">
    <w:pPr>
      <w:pStyle w:val="Nagwek"/>
    </w:pPr>
  </w:p>
  <w:p w:rsidR="00000000" w:rsidRDefault="007D311F">
    <w:pPr>
      <w:pStyle w:val="Nagwek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F7BDD">
      <w:rPr>
        <w:noProof/>
      </w:rPr>
      <w:t>8</w:t>
    </w:r>
    <w:r>
      <w:fldChar w:fldCharType="end"/>
    </w:r>
  </w:p>
  <w:p w:rsidR="00000000" w:rsidRDefault="007D311F">
    <w:pPr>
      <w:pStyle w:val="Nagwek"/>
      <w:jc w:val="right"/>
    </w:pPr>
  </w:p>
  <w:p w:rsidR="00000000" w:rsidRDefault="007D311F">
    <w:pPr>
      <w:pStyle w:val="Nagwek"/>
    </w:pPr>
  </w:p>
  <w:p w:rsidR="00000000" w:rsidRDefault="007D311F">
    <w:pPr>
      <w:pStyle w:val="Nagwek"/>
    </w:pPr>
  </w:p>
  <w:p w:rsidR="00000000" w:rsidRDefault="007D311F">
    <w:pPr>
      <w:pStyle w:val="Nagwek"/>
    </w:pPr>
  </w:p>
  <w:p w:rsidR="00000000" w:rsidRDefault="007D311F">
    <w:pPr>
      <w:pStyle w:val="Nagwek"/>
    </w:pPr>
  </w:p>
  <w:p w:rsidR="00000000" w:rsidRDefault="007D311F">
    <w:pPr>
      <w:pStyle w:val="Nagwek"/>
    </w:pPr>
  </w:p>
  <w:p w:rsidR="00000000" w:rsidRDefault="00FF7BD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42545</wp:posOffset>
          </wp:positionV>
          <wp:extent cx="7554595" cy="1433830"/>
          <wp:effectExtent l="0" t="0" r="8255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433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61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9"/>
    <w:rsid w:val="005F6AF9"/>
    <w:rsid w:val="007D311F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B96B5EF-6016-4479-BE63-AC0DC51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SimSun" w:hAnsi="Cambria" w:cs="font317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  <w:uiPriority w:val="99"/>
  </w:style>
  <w:style w:type="character" w:customStyle="1" w:styleId="StopkaZnak">
    <w:name w:val="Stopka Znak"/>
    <w:basedOn w:val="DefaultParagraphFont"/>
    <w:uiPriority w:val="99"/>
  </w:style>
  <w:style w:type="character" w:customStyle="1" w:styleId="TekstdymkaZnak">
    <w:name w:val="Tekst dymka Znak"/>
    <w:basedOn w:val="DefaultParagraphFont"/>
    <w:rPr>
      <w:rFonts w:ascii="Lucida Grande CE" w:hAnsi="Lucida Grande CE" w:cs="Lucida Grande CE"/>
      <w:sz w:val="18"/>
      <w:szCs w:val="18"/>
    </w:rPr>
  </w:style>
  <w:style w:type="character" w:customStyle="1" w:styleId="CytatintensywnyZnak">
    <w:name w:val="Cytat intensywny Znak"/>
    <w:basedOn w:val="DefaultParagraphFont"/>
    <w:rPr>
      <w:b/>
      <w:bCs/>
      <w:i/>
      <w:iCs/>
      <w:color w:val="4F81BD"/>
      <w:sz w:val="22"/>
      <w:szCs w:val="22"/>
      <w:lang w:val="pl-PL"/>
    </w:rPr>
  </w:style>
  <w:style w:type="character" w:styleId="Hipercze">
    <w:name w:val="Hyperlink"/>
    <w:basedOn w:val="DefaultParagraphFont"/>
    <w:rPr>
      <w:color w:val="0000FF"/>
      <w:u w:val="single"/>
      <w:lang/>
    </w:rPr>
  </w:style>
  <w:style w:type="character" w:customStyle="1" w:styleId="apple-converted-space">
    <w:name w:val="apple-converted-space"/>
    <w:basedOn w:val="DefaultParagraphFont"/>
  </w:style>
  <w:style w:type="character" w:customStyle="1" w:styleId="textexposedshow">
    <w:name w:val="text_exposed_show"/>
    <w:basedOn w:val="DefaultParagraphFont"/>
  </w:style>
  <w:style w:type="character" w:customStyle="1" w:styleId="annotationreference">
    <w:name w:val="annotation reference"/>
    <w:basedOn w:val="DefaultParagraphFont"/>
    <w:rPr>
      <w:sz w:val="18"/>
      <w:szCs w:val="18"/>
    </w:rPr>
  </w:style>
  <w:style w:type="character" w:customStyle="1" w:styleId="TekstprzypisukocowegoZnak">
    <w:name w:val="Tekst przypisu końcowego Znak"/>
    <w:basedOn w:val="DefaultParagraphFont"/>
    <w:rPr>
      <w:sz w:val="20"/>
      <w:szCs w:val="20"/>
    </w:rPr>
  </w:style>
  <w:style w:type="character" w:customStyle="1" w:styleId="endnotereference">
    <w:name w:val="endnote reference"/>
    <w:basedOn w:val="DefaultParagraphFont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PODPIS">
    <w:name w:val="PODPIS"/>
    <w:basedOn w:val="Normalny"/>
    <w:pPr>
      <w:widowControl w:val="0"/>
    </w:pPr>
    <w:rPr>
      <w:rFonts w:ascii="Trebuchet MS Bold" w:eastAsia="Times New Roman" w:hAnsi="Trebuchet MS Bold" w:cs="Times New Roman"/>
      <w:kern w:val="1"/>
      <w:sz w:val="20"/>
      <w:szCs w:val="20"/>
      <w:lang w:val="pl-PL" w:eastAsia="hi-IN" w:bidi="hi-IN"/>
    </w:rPr>
  </w:style>
  <w:style w:type="paragraph" w:customStyle="1" w:styleId="BODY">
    <w:name w:val="BODY"/>
    <w:basedOn w:val="Normalny"/>
    <w:pPr>
      <w:widowControl w:val="0"/>
    </w:pPr>
    <w:rPr>
      <w:rFonts w:ascii="Trebuchet MS" w:eastAsia="Times New Roman" w:hAnsi="Trebuchet MS" w:cs="Times New Roman"/>
      <w:kern w:val="1"/>
      <w:sz w:val="20"/>
      <w:szCs w:val="20"/>
      <w:lang w:val="pl-PL" w:eastAsia="hi-IN" w:bidi="hi-IN"/>
    </w:rPr>
  </w:style>
  <w:style w:type="paragraph" w:customStyle="1" w:styleId="NAGLOWEK">
    <w:name w:val="NAGLOWEK"/>
    <w:basedOn w:val="Normalny"/>
    <w:pPr>
      <w:widowControl w:val="0"/>
    </w:pPr>
    <w:rPr>
      <w:rFonts w:ascii="Trebuchet MS" w:eastAsia="Times New Roman" w:hAnsi="Trebuchet MS" w:cs="Times New Roman"/>
      <w:kern w:val="1"/>
      <w:szCs w:val="20"/>
      <w:lang w:val="pl-PL" w:eastAsia="hi-IN" w:bidi="hi-IN"/>
    </w:rPr>
  </w:style>
  <w:style w:type="paragraph" w:customStyle="1" w:styleId="stopka">
    <w:name w:val="stopka"/>
    <w:pPr>
      <w:suppressAutoHyphens/>
    </w:pPr>
    <w:rPr>
      <w:rFonts w:ascii="ArialMT" w:eastAsia="SimSun" w:hAnsi="ArialMT" w:cs="ArialMT"/>
      <w:spacing w:val="1"/>
      <w:sz w:val="14"/>
      <w:szCs w:val="14"/>
      <w:lang w:eastAsia="ar-SA"/>
    </w:rPr>
  </w:style>
  <w:style w:type="paragraph" w:customStyle="1" w:styleId="ListParagraph">
    <w:name w:val="List Paragraph"/>
    <w:pPr>
      <w:numPr>
        <w:numId w:val="1"/>
      </w:numPr>
      <w:suppressAutoHyphens/>
    </w:pPr>
    <w:rPr>
      <w:rFonts w:ascii="Arial" w:eastAsia="SimSun" w:hAnsi="Arial" w:cs="font317"/>
      <w:lang w:val="en-GB"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153"/>
        <w:tab w:val="right" w:pos="8306"/>
      </w:tabs>
    </w:pPr>
  </w:style>
  <w:style w:type="paragraph" w:styleId="Stopka0">
    <w:name w:val="footer"/>
    <w:basedOn w:val="Normalny"/>
    <w:uiPriority w:val="99"/>
    <w:pPr>
      <w:suppressLineNumbers/>
      <w:tabs>
        <w:tab w:val="center" w:pos="4153"/>
        <w:tab w:val="right" w:pos="8306"/>
      </w:tabs>
    </w:pPr>
  </w:style>
  <w:style w:type="paragraph" w:customStyle="1" w:styleId="BalloonText">
    <w:name w:val="Balloon Text"/>
    <w:basedOn w:val="Normalny"/>
    <w:rPr>
      <w:rFonts w:ascii="Lucida Grande CE" w:hAnsi="Lucida Grande CE" w:cs="Lucida Grande CE"/>
      <w:sz w:val="18"/>
      <w:szCs w:val="18"/>
    </w:rPr>
  </w:style>
  <w:style w:type="paragraph" w:customStyle="1" w:styleId="IntenseQuote">
    <w:name w:val="Intense Quote"/>
    <w:basedOn w:val="Normalny"/>
    <w:pPr>
      <w:pBdr>
        <w:bottom w:val="single" w:sz="4" w:space="4" w:color="808080"/>
      </w:pBdr>
      <w:spacing w:before="200" w:after="280" w:line="276" w:lineRule="auto"/>
      <w:ind w:left="936" w:right="936"/>
    </w:pPr>
    <w:rPr>
      <w:b/>
      <w:bCs/>
      <w:i/>
      <w:iCs/>
      <w:color w:val="4F81BD"/>
      <w:sz w:val="22"/>
      <w:szCs w:val="22"/>
      <w:lang w:val="pl-PL"/>
    </w:rPr>
  </w:style>
  <w:style w:type="paragraph" w:customStyle="1" w:styleId="endnotetext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opkazprawej">
    <w:name w:val="Stopka z prawej"/>
    <w:basedOn w:val="Normalny"/>
    <w:pPr>
      <w:suppressLineNumbers/>
      <w:tabs>
        <w:tab w:val="center" w:pos="7030"/>
        <w:tab w:val="right" w:pos="14060"/>
      </w:tabs>
    </w:pPr>
  </w:style>
  <w:style w:type="paragraph" w:customStyle="1" w:styleId="Nagwekstronyzprawej">
    <w:name w:val="Nagłówek strony z prawej"/>
    <w:basedOn w:val="Normalny"/>
    <w:pPr>
      <w:suppressLineNumbers/>
      <w:tabs>
        <w:tab w:val="center" w:pos="7030"/>
        <w:tab w:val="right" w:pos="14060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ansferhub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CH</dc:creator>
  <cp:keywords/>
  <cp:lastModifiedBy>Piotr Drygas</cp:lastModifiedBy>
  <cp:revision>2</cp:revision>
  <cp:lastPrinted>2016-10-21T11:53:00Z</cp:lastPrinted>
  <dcterms:created xsi:type="dcterms:W3CDTF">2019-03-18T10:50:00Z</dcterms:created>
  <dcterms:modified xsi:type="dcterms:W3CDTF">2019-03-18T10:50:00Z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edgar bak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