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75B" w:rsidRDefault="00A0675B">
      <w:pPr>
        <w:pStyle w:val="Title"/>
        <w:rPr>
          <w:b/>
          <w:bCs/>
          <w:sz w:val="28"/>
          <w:szCs w:val="28"/>
        </w:rPr>
      </w:pPr>
    </w:p>
    <w:p w:rsidR="00A0675B" w:rsidRDefault="00A0675B">
      <w:pPr>
        <w:rPr>
          <w:rFonts w:ascii="Arial" w:hAnsi="Arial" w:cs="Arial"/>
        </w:rPr>
      </w:pPr>
    </w:p>
    <w:p w:rsidR="00A0675B" w:rsidRDefault="00A0675B">
      <w:pPr>
        <w:rPr>
          <w:rFonts w:ascii="Arial" w:hAnsi="Arial" w:cs="Arial"/>
        </w:rPr>
      </w:pPr>
    </w:p>
    <w:p w:rsidR="00A0675B" w:rsidRDefault="00A0675B">
      <w:pPr>
        <w:rPr>
          <w:rFonts w:ascii="Arial" w:hAnsi="Arial" w:cs="Arial"/>
        </w:rPr>
      </w:pPr>
    </w:p>
    <w:p w:rsidR="00A0675B" w:rsidRDefault="00A0675B">
      <w:pPr>
        <w:pStyle w:val="Title"/>
        <w:jc w:val="center"/>
        <w:rPr>
          <w:sz w:val="28"/>
          <w:szCs w:val="28"/>
        </w:rPr>
      </w:pPr>
      <w:r>
        <w:rPr>
          <w:sz w:val="28"/>
          <w:szCs w:val="28"/>
        </w:rPr>
        <w:t>AUTOR INNOWACJI: TORO Michał Rzepka</w:t>
      </w:r>
    </w:p>
    <w:p w:rsidR="00A0675B" w:rsidRDefault="00A0675B">
      <w:pPr>
        <w:pStyle w:val="Title"/>
        <w:jc w:val="center"/>
        <w:rPr>
          <w:sz w:val="28"/>
          <w:szCs w:val="28"/>
        </w:rPr>
      </w:pPr>
      <w:r>
        <w:rPr>
          <w:sz w:val="28"/>
          <w:szCs w:val="28"/>
        </w:rPr>
        <w:t xml:space="preserve"> NAZWA INNOWACJI: Bądź zdrów</w:t>
      </w:r>
    </w:p>
    <w:p w:rsidR="00A0675B" w:rsidRDefault="00A0675B">
      <w:pPr>
        <w:pStyle w:val="Header"/>
        <w:tabs>
          <w:tab w:val="left" w:pos="708"/>
        </w:tabs>
        <w:spacing w:line="276" w:lineRule="auto"/>
      </w:pPr>
    </w:p>
    <w:p w:rsidR="00A0675B" w:rsidRDefault="00A0675B">
      <w:pPr>
        <w:rPr>
          <w:rFonts w:ascii="Arial" w:hAnsi="Arial" w:cs="Arial"/>
        </w:rPr>
      </w:pPr>
    </w:p>
    <w:p w:rsidR="00A0675B" w:rsidRDefault="00A0675B">
      <w:pPr>
        <w:pStyle w:val="Title"/>
        <w:jc w:val="both"/>
        <w:rPr>
          <w:sz w:val="28"/>
          <w:szCs w:val="28"/>
        </w:rPr>
      </w:pPr>
    </w:p>
    <w:p w:rsidR="00A0675B" w:rsidRDefault="00A0675B">
      <w:pPr>
        <w:pStyle w:val="Title"/>
        <w:jc w:val="both"/>
        <w:rPr>
          <w:sz w:val="28"/>
          <w:szCs w:val="28"/>
        </w:rPr>
      </w:pPr>
      <w:r>
        <w:rPr>
          <w:sz w:val="28"/>
          <w:szCs w:val="28"/>
        </w:rPr>
        <w:t>Inkubator:  Samorząd Województwa Wielkopolskiego – Regionalny Ośrodek Polityki Społecznej w Poznaniu – Lider, partnerzy: Miasto Poznań, Poznańskie Centrum Superkomputerowo-Sieciowe.</w:t>
      </w:r>
    </w:p>
    <w:p w:rsidR="00A0675B" w:rsidRDefault="00A0675B">
      <w:pPr>
        <w:rPr>
          <w:rFonts w:ascii="Arial" w:hAnsi="Arial" w:cs="Arial"/>
        </w:rPr>
      </w:pPr>
    </w:p>
    <w:p w:rsidR="00A0675B" w:rsidRDefault="00A0675B">
      <w:pPr>
        <w:rPr>
          <w:rFonts w:ascii="Arial" w:hAnsi="Arial" w:cs="Arial"/>
        </w:rPr>
      </w:pPr>
    </w:p>
    <w:p w:rsidR="00A0675B" w:rsidRDefault="00A0675B">
      <w:pPr>
        <w:rPr>
          <w:rFonts w:ascii="Arial" w:hAnsi="Arial" w:cs="Arial"/>
        </w:rPr>
      </w:pPr>
    </w:p>
    <w:p w:rsidR="00A0675B" w:rsidRDefault="00A0675B">
      <w:pPr>
        <w:rPr>
          <w:rFonts w:ascii="Arial" w:hAnsi="Arial" w:cs="Arial"/>
        </w:rPr>
      </w:pPr>
    </w:p>
    <w:p w:rsidR="00A0675B" w:rsidRDefault="00A0675B">
      <w:pPr>
        <w:rPr>
          <w:rFonts w:ascii="Arial" w:hAnsi="Arial" w:cs="Arial"/>
        </w:rPr>
      </w:pPr>
    </w:p>
    <w:p w:rsidR="00A0675B" w:rsidRDefault="00A0675B">
      <w:pPr>
        <w:pStyle w:val="Title"/>
        <w:jc w:val="center"/>
        <w:rPr>
          <w:b/>
          <w:bCs/>
          <w:sz w:val="28"/>
          <w:szCs w:val="28"/>
        </w:rPr>
      </w:pPr>
      <w:r>
        <w:rPr>
          <w:b/>
          <w:bCs/>
          <w:sz w:val="28"/>
          <w:szCs w:val="28"/>
        </w:rPr>
        <w:t>Innowacja społeczna powstała w ramach realizacji projektu „Przepis na wielkopolską innowację społeczną  - usługi opiekuńcze dla osób zależnych” współfinansowanego ze środków Europejskiego Funduszu Społecznego  - Program Operacyjny Wiedza Edukacja Rozwój 2014-2020.</w:t>
      </w:r>
    </w:p>
    <w:p w:rsidR="00A0675B" w:rsidRDefault="00A0675B">
      <w:pPr>
        <w:rPr>
          <w:rFonts w:ascii="Arial" w:hAnsi="Arial" w:cs="Arial"/>
        </w:rPr>
      </w:pPr>
    </w:p>
    <w:p w:rsidR="00A0675B" w:rsidRDefault="00A0675B">
      <w:pPr>
        <w:rPr>
          <w:rFonts w:ascii="Arial" w:hAnsi="Arial" w:cs="Arial"/>
        </w:rPr>
      </w:pPr>
    </w:p>
    <w:p w:rsidR="00A0675B" w:rsidRDefault="00A0675B">
      <w:pPr>
        <w:rPr>
          <w:rFonts w:ascii="Arial" w:hAnsi="Arial" w:cs="Arial"/>
        </w:rPr>
      </w:pPr>
    </w:p>
    <w:p w:rsidR="00A0675B" w:rsidRDefault="00A0675B">
      <w:pPr>
        <w:rPr>
          <w:rFonts w:ascii="Arial" w:hAnsi="Arial" w:cs="Arial"/>
        </w:rPr>
      </w:pPr>
    </w:p>
    <w:p w:rsidR="00A0675B" w:rsidRDefault="00A0675B">
      <w:pPr>
        <w:rPr>
          <w:rFonts w:ascii="Arial" w:hAnsi="Arial" w:cs="Arial"/>
        </w:rPr>
      </w:pPr>
    </w:p>
    <w:p w:rsidR="00A0675B" w:rsidRDefault="00A0675B">
      <w:pPr>
        <w:rPr>
          <w:rFonts w:ascii="Arial" w:hAnsi="Arial" w:cs="Arial"/>
        </w:rPr>
      </w:pPr>
    </w:p>
    <w:p w:rsidR="00A0675B" w:rsidRDefault="00A0675B">
      <w:pPr>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53.75pt;height:58.5pt;visibility:visible">
            <v:imagedata r:id="rId5" o:title=""/>
          </v:shape>
        </w:pict>
      </w:r>
    </w:p>
    <w:p w:rsidR="00A0675B" w:rsidRDefault="00A0675B">
      <w:pPr>
        <w:spacing w:line="360" w:lineRule="auto"/>
        <w:jc w:val="center"/>
        <w:rPr>
          <w:b/>
          <w:bCs/>
        </w:rPr>
      </w:pPr>
      <w:r>
        <w:rPr>
          <w:b/>
          <w:bCs/>
        </w:rPr>
        <w:t>Bądź zdrów!</w:t>
      </w:r>
    </w:p>
    <w:p w:rsidR="00A0675B" w:rsidRDefault="00A0675B">
      <w:pPr>
        <w:spacing w:line="360" w:lineRule="auto"/>
        <w:jc w:val="center"/>
        <w:rPr>
          <w:b/>
          <w:bCs/>
        </w:rPr>
      </w:pPr>
      <w:r>
        <w:rPr>
          <w:b/>
          <w:bCs/>
        </w:rPr>
        <w:t>Raport grantobiorcy z testów prototypu narzędzia.</w:t>
      </w:r>
    </w:p>
    <w:p w:rsidR="00A0675B" w:rsidRDefault="00A0675B">
      <w:pPr>
        <w:spacing w:line="360" w:lineRule="auto"/>
        <w:jc w:val="both"/>
        <w:rPr>
          <w:rFonts w:ascii="Times New Roman" w:hAnsi="Times New Roman" w:cs="Times New Roman"/>
          <w:b/>
          <w:bCs/>
        </w:rPr>
      </w:pPr>
    </w:p>
    <w:p w:rsidR="00A0675B" w:rsidRDefault="00A0675B">
      <w:pPr>
        <w:spacing w:line="360" w:lineRule="auto"/>
        <w:jc w:val="both"/>
        <w:rPr>
          <w:rFonts w:ascii="Times New Roman" w:hAnsi="Times New Roman" w:cs="Times New Roman"/>
          <w:b/>
          <w:bCs/>
        </w:rPr>
      </w:pPr>
      <w:r>
        <w:rPr>
          <w:b/>
          <w:bCs/>
        </w:rPr>
        <w:t>Realizacja testów</w:t>
      </w:r>
    </w:p>
    <w:p w:rsidR="00A0675B" w:rsidRDefault="00A0675B">
      <w:pPr>
        <w:spacing w:line="360" w:lineRule="auto"/>
        <w:jc w:val="both"/>
      </w:pPr>
      <w:r>
        <w:t>Testy aplikacji WWW „Bądź zdrów!” przeprowadzone zostały w dniach 7 – 11 stycznia 2019 r.</w:t>
      </w:r>
    </w:p>
    <w:p w:rsidR="00A0675B" w:rsidRDefault="00A0675B">
      <w:pPr>
        <w:spacing w:line="360" w:lineRule="auto"/>
        <w:jc w:val="both"/>
      </w:pPr>
      <w:r>
        <w:t>Do testów wykorzystano prototyp narzędzia zamieszczony w sieci i dostępny z poziomu przeglądarki internetowej.</w:t>
      </w:r>
    </w:p>
    <w:p w:rsidR="00A0675B" w:rsidRDefault="00A0675B">
      <w:pPr>
        <w:spacing w:line="360" w:lineRule="auto"/>
        <w:jc w:val="both"/>
      </w:pPr>
      <w:r>
        <w:t>Testy zostały przeprowadzone we współpracy z nauczycielami i rodzicami uczniów z Zespołu Szkół Specjalnych nr 103 im. Marii Grzegorzewskiej w Poznaniu przy ul. Kanclerskiej 31-33 oraz w Zespole Szkół Specjalnych nr 105 im. Juliana Tuwima w Poznaniu, przy ul. Nieszawskiej 21.</w:t>
      </w:r>
    </w:p>
    <w:p w:rsidR="00A0675B" w:rsidRDefault="00A0675B">
      <w:pPr>
        <w:spacing w:line="360" w:lineRule="auto"/>
        <w:jc w:val="both"/>
      </w:pPr>
      <w:r>
        <w:t>Testy przeprowadzono podczas zajęć, których tematem było ćwiczenie czynności samoobsługowych w zakresie przygotowywania posiłku oraz ćwiczenie realizacji zadań w oparciu o łańcuchy czynności.</w:t>
      </w:r>
    </w:p>
    <w:p w:rsidR="00A0675B" w:rsidRDefault="00A0675B">
      <w:pPr>
        <w:spacing w:line="360" w:lineRule="auto"/>
        <w:jc w:val="both"/>
      </w:pPr>
      <w:r>
        <w:t>Po testach przeprowadzono ankietę, której wyniki i wnioski posłużyły do wprowadzenia modyfikacji w funkcjonalności narzędzia i dostosowaniu go do zgłaszanych potrzeb.</w:t>
      </w:r>
    </w:p>
    <w:p w:rsidR="00A0675B" w:rsidRDefault="00A0675B">
      <w:pPr>
        <w:spacing w:line="360" w:lineRule="auto"/>
        <w:jc w:val="both"/>
      </w:pPr>
      <w:r>
        <w:t>Realizacja testów podlegała obserwacji, podczas której notowano ich przebieg, następnie osoby prowadzące zajęcia były ankietowane, a przebieg testu i wyniki ankiet były omawiane.</w:t>
      </w:r>
    </w:p>
    <w:p w:rsidR="00A0675B" w:rsidRDefault="00A0675B">
      <w:pPr>
        <w:spacing w:line="360" w:lineRule="auto"/>
        <w:jc w:val="both"/>
      </w:pPr>
      <w:r>
        <w:t>W czasie testów zrealizowano podstawowe scenariusze użycia narzędzia.</w:t>
      </w:r>
    </w:p>
    <w:p w:rsidR="00A0675B" w:rsidRDefault="00A0675B">
      <w:pPr>
        <w:spacing w:line="360" w:lineRule="auto"/>
        <w:jc w:val="both"/>
        <w:rPr>
          <w:rFonts w:ascii="Times New Roman" w:hAnsi="Times New Roman" w:cs="Times New Roman"/>
        </w:rPr>
      </w:pPr>
    </w:p>
    <w:p w:rsidR="00A0675B" w:rsidRDefault="00A0675B">
      <w:pPr>
        <w:spacing w:line="360" w:lineRule="auto"/>
        <w:jc w:val="both"/>
        <w:rPr>
          <w:b/>
          <w:bCs/>
        </w:rPr>
      </w:pPr>
      <w:r>
        <w:rPr>
          <w:b/>
          <w:bCs/>
        </w:rPr>
        <w:t>Grupa testowa</w:t>
      </w:r>
    </w:p>
    <w:p w:rsidR="00A0675B" w:rsidRDefault="00A0675B">
      <w:pPr>
        <w:spacing w:line="360" w:lineRule="auto"/>
        <w:jc w:val="both"/>
        <w:rPr>
          <w:rFonts w:ascii="Times New Roman" w:hAnsi="Times New Roman" w:cs="Times New Roman"/>
        </w:rPr>
      </w:pPr>
      <w:r>
        <w:t>W testach wzięli udział uczniowie w/w zespołów szkół specjalnych, łącznie 10 osób, chłopcy i dziewczynki w wieku od 9 do 16 lat oraz 2 nauczycieli i 2 rodziców.</w:t>
      </w:r>
      <w:bookmarkStart w:id="0" w:name="_GoBack"/>
      <w:bookmarkEnd w:id="0"/>
    </w:p>
    <w:p w:rsidR="00A0675B" w:rsidRDefault="00A0675B">
      <w:pPr>
        <w:spacing w:line="360" w:lineRule="auto"/>
        <w:jc w:val="both"/>
        <w:rPr>
          <w:rFonts w:ascii="Times New Roman" w:hAnsi="Times New Roman" w:cs="Times New Roman"/>
        </w:rPr>
      </w:pPr>
      <w:r>
        <w:t>Dzieci te charakteryzuje niepełnosprawność w stopniu lekkim, umiarkowanym i znacznym, wynikająca z wad genetycznych, mózgowego porażenia dziecięcego czy wad wrodzonych.</w:t>
      </w:r>
    </w:p>
    <w:p w:rsidR="00A0675B" w:rsidRDefault="00A0675B">
      <w:pPr>
        <w:spacing w:line="360" w:lineRule="auto"/>
        <w:jc w:val="both"/>
      </w:pPr>
      <w:r>
        <w:t>Rodzaj niepełnosprawności uczestników testów sprawia, że w grupie tej znalazły się zarówno osoby sprawne fizycznie, jak i osoby o ograniczonej sprawności ruchowej, zwłaszcza w obszarze małej motoryki.</w:t>
      </w:r>
    </w:p>
    <w:p w:rsidR="00A0675B" w:rsidRDefault="00A0675B">
      <w:pPr>
        <w:spacing w:line="360" w:lineRule="auto"/>
        <w:jc w:val="both"/>
      </w:pPr>
      <w:r>
        <w:t>Zdecydowana większość testujących nie posługuje się komunikacją werbalną, wykorzystuje komunikacje alternatywną (PCS, piktogramy, Makaton).</w:t>
      </w:r>
    </w:p>
    <w:p w:rsidR="00A0675B" w:rsidRDefault="00A0675B">
      <w:pPr>
        <w:spacing w:line="360" w:lineRule="auto"/>
        <w:jc w:val="both"/>
        <w:rPr>
          <w:rFonts w:ascii="Times New Roman" w:hAnsi="Times New Roman" w:cs="Times New Roman"/>
        </w:rPr>
      </w:pPr>
    </w:p>
    <w:p w:rsidR="00A0675B" w:rsidRDefault="00A0675B">
      <w:pPr>
        <w:spacing w:line="360" w:lineRule="auto"/>
        <w:jc w:val="both"/>
        <w:rPr>
          <w:b/>
          <w:bCs/>
        </w:rPr>
      </w:pPr>
      <w:r>
        <w:rPr>
          <w:b/>
          <w:bCs/>
        </w:rPr>
        <w:t>Przebieg testu</w:t>
      </w:r>
    </w:p>
    <w:p w:rsidR="00A0675B" w:rsidRDefault="00A0675B">
      <w:pPr>
        <w:spacing w:line="360" w:lineRule="auto"/>
        <w:jc w:val="both"/>
      </w:pPr>
      <w:r>
        <w:t>Testy realizowane były na zajęciach indywidualnych oraz zajęciach w grupach do 4 osób.</w:t>
      </w:r>
    </w:p>
    <w:p w:rsidR="00A0675B" w:rsidRDefault="00A0675B">
      <w:pPr>
        <w:spacing w:line="360" w:lineRule="auto"/>
        <w:jc w:val="both"/>
      </w:pPr>
      <w:r>
        <w:t>Do realizacji wykorzystano prototyp narzędzia dostępny poprzez przeglądarkę WWW, za pomocą tabletu z ekranem dotykowym o przekątnej 9,6 cala.</w:t>
      </w:r>
    </w:p>
    <w:p w:rsidR="00A0675B" w:rsidRDefault="00A0675B">
      <w:pPr>
        <w:spacing w:line="360" w:lineRule="auto"/>
        <w:jc w:val="both"/>
        <w:rPr>
          <w:rFonts w:ascii="Times New Roman" w:hAnsi="Times New Roman" w:cs="Times New Roman"/>
        </w:rPr>
      </w:pPr>
      <w:r>
        <w:t>Osoby prowadzące zajęcia przygotowały niezbędne narzędzia i produkty. Testy odbywały się w pracowniach szkolnych przystosowanych do realizacji zajęć kulinarnych, wyposażonych w przyrządy kuchenne, zlew, płytę kuchenną.</w:t>
      </w:r>
    </w:p>
    <w:p w:rsidR="00A0675B" w:rsidRDefault="00A0675B">
      <w:pPr>
        <w:spacing w:line="360" w:lineRule="auto"/>
        <w:jc w:val="both"/>
      </w:pPr>
      <w:r>
        <w:t>Po wprowadzeniu dotyczącym nazywania produktów uruchomiono tablet i wywołano w przeglądarce stronę WWW aplikacji.</w:t>
      </w:r>
    </w:p>
    <w:p w:rsidR="00A0675B" w:rsidRDefault="00A0675B">
      <w:pPr>
        <w:spacing w:line="360" w:lineRule="auto"/>
        <w:jc w:val="both"/>
      </w:pPr>
      <w:r>
        <w:t>Strona główna zawiera zarówno menu tekstowe, jak i możliwość dokonania wyboru kategorii posiłku.</w:t>
      </w:r>
    </w:p>
    <w:p w:rsidR="00A0675B" w:rsidRDefault="00A0675B">
      <w:pPr>
        <w:spacing w:line="360" w:lineRule="auto"/>
        <w:jc w:val="both"/>
      </w:pPr>
      <w:r>
        <w:t>Uczniowie mieli możliwość dokonania wyboru kategorii posiłku poprzez wskazanie palcem odpowiedniego symbolu PCS jednej z 5 kategorii.</w:t>
      </w:r>
    </w:p>
    <w:p w:rsidR="00A0675B" w:rsidRDefault="00A0675B">
      <w:pPr>
        <w:spacing w:line="360" w:lineRule="auto"/>
        <w:jc w:val="both"/>
      </w:pPr>
      <w:r>
        <w:t>Następnie omawiano z uczniami wynik wyszukiwania i z uwzględnieniem dostępnych produktów mieli oni możliwość wyboru odpowiedniego przepisu.</w:t>
      </w:r>
    </w:p>
    <w:p w:rsidR="00A0675B" w:rsidRDefault="00A0675B">
      <w:pPr>
        <w:spacing w:line="360" w:lineRule="auto"/>
        <w:jc w:val="both"/>
      </w:pPr>
      <w:r>
        <w:t>Przepis uruchamiali poprzez wskazanie symbolu „karta przepisu”.</w:t>
      </w:r>
    </w:p>
    <w:p w:rsidR="00A0675B" w:rsidRDefault="00A0675B">
      <w:pPr>
        <w:spacing w:line="360" w:lineRule="auto"/>
        <w:jc w:val="both"/>
        <w:rPr>
          <w:rFonts w:ascii="Times New Roman" w:hAnsi="Times New Roman" w:cs="Times New Roman"/>
        </w:rPr>
      </w:pPr>
      <w:r>
        <w:t>Następnie realizowano zajęcia w oparciu o wyświetloną kartę przepisu, początkowo angażując uczniów w kompletowanie odpowiednich sprzętów i produktów a następnie realizując czynności zgodnie z zapisanymi łańcuchami czynności.</w:t>
      </w:r>
    </w:p>
    <w:p w:rsidR="00A0675B" w:rsidRDefault="00A0675B">
      <w:pPr>
        <w:spacing w:line="360" w:lineRule="auto"/>
        <w:jc w:val="both"/>
      </w:pPr>
      <w:r>
        <w:t>Efektem końcowym była prezentacja przygotowanego wg. przepisu dania.</w:t>
      </w:r>
    </w:p>
    <w:p w:rsidR="00A0675B" w:rsidRDefault="00A0675B">
      <w:pPr>
        <w:spacing w:line="360" w:lineRule="auto"/>
        <w:jc w:val="both"/>
        <w:rPr>
          <w:rFonts w:ascii="Times New Roman" w:hAnsi="Times New Roman" w:cs="Times New Roman"/>
        </w:rPr>
      </w:pPr>
    </w:p>
    <w:p w:rsidR="00A0675B" w:rsidRDefault="00A0675B">
      <w:pPr>
        <w:spacing w:line="360" w:lineRule="auto"/>
        <w:jc w:val="both"/>
        <w:rPr>
          <w:rFonts w:ascii="Times New Roman" w:hAnsi="Times New Roman" w:cs="Times New Roman"/>
          <w:b/>
          <w:bCs/>
        </w:rPr>
      </w:pPr>
      <w:r>
        <w:rPr>
          <w:b/>
          <w:bCs/>
        </w:rPr>
        <w:t>Główne postulaty i uwagi po testach</w:t>
      </w:r>
    </w:p>
    <w:p w:rsidR="00A0675B" w:rsidRDefault="00A0675B">
      <w:pPr>
        <w:spacing w:line="360" w:lineRule="auto"/>
        <w:jc w:val="both"/>
        <w:rPr>
          <w:i/>
          <w:iCs/>
        </w:rPr>
      </w:pPr>
      <w:r>
        <w:rPr>
          <w:i/>
          <w:iCs/>
        </w:rPr>
        <w:t>Uwagi dotyczące dydaktycznych funkcji narzędzia</w:t>
      </w:r>
    </w:p>
    <w:p w:rsidR="00A0675B" w:rsidRDefault="00A0675B">
      <w:pPr>
        <w:spacing w:line="360" w:lineRule="auto"/>
        <w:jc w:val="both"/>
        <w:rPr>
          <w:rFonts w:ascii="Times New Roman" w:hAnsi="Times New Roman" w:cs="Times New Roman"/>
        </w:rPr>
      </w:pPr>
      <w:r>
        <w:t>Aplikacja WWW „Bądź zdrów!” może być wykorzystania nie tylko do realizacji zajęć samoobsługowych z zakresu przygotowywania posiłków, a daje możliwość osiągania innych jeszcze celów dydaktycznych wyszczególnionych dla każdego ucznia w jego indywidualnym planie terapii i edukacji. Pierwszą niebagatelna cechą narzędzia jest budowanie motywacji do realizacji zajęć, poprzez wykorzystanie nowego narzędzia dydaktycznego i atrakcyjnego dla uczestników środka dydaktycznego (tablet). Wykorzystanie aplikacji daje możliwość realizacji celów związanych z dokonywaniem wyborów przez ucznia. podkreślano, że chodzi tu nie tylko o dokonywanie wyborów preferencji, ale o segregowanie przedmiotów do odpowiednich kategorii. Umiejętność dokonywania wyborów wpływa na poziom samodzielności i samostanowienia i jednocześnie przenosi się na inne zadania. Uzyskana samodzielność, lub wpływ na podniesienie poziomu samodzielności jest istotnym osiągnięciem celów edukacyjnych, a aplikacja WWW „Bądź zdrów!” stwarza szansę w tym obszarze. Nie bez znaczenia jest również podnoszenie poziomu motywacji poprzez dobór środków atrakcyjnych dla uczestnika zajęć. Jednocześnie rozwijana jest umiejętność posługiwania się nowoczesnymi narzędziami jak tablet, smartfon, ekran dotykowy, które to umiejętności przenoszone są na obsługę innych aplikacji (np. YouTube itp.). Ważnym aspektem dydaktycznym jest kształcenie umiejętności komunikacyjnych i stwarzanie możliwości wprowadzania świadomej komunikacji dwukierunkowej. Ważne jest również kształcenie umiejętności poznawczych, poszerzanie zasobu słownictwa uczestników poprzez uczenie rozpoznawania nazw przedmiotów i nazywania przedmiotów. Uczestnicy uczą się ponadto ról społecznych, wykonywania poleceń i instrukcji, informowania o własnych wyborach, potrzebach czy pomysłach. Kolejnym aspektem dydaktycznym jest możliwość ćwiczenia koordynacji wzrokowo-ruchowej i precyzji wykonywania czynności. Praca z aplikacją koreluje z kształceniem innych czynności samoobsługowych, np. w zakresie higieny. Ponadto wykorzystanie aplikacji zbieżne jest z programami realizowanymi w szkołach „Zdrowa szkoła”, „Owoce i warzywa w szkole”, „Mleko w szkole” itp. koordynacja, ćwiczenie kolejności czynności, zbieżność z programami szkoła warzywa itp.</w:t>
      </w:r>
    </w:p>
    <w:p w:rsidR="00A0675B" w:rsidRDefault="00A0675B">
      <w:pPr>
        <w:spacing w:line="360" w:lineRule="auto"/>
        <w:jc w:val="both"/>
      </w:pPr>
      <w:r>
        <w:t>Na podstawie informacji zwrotnych uzyskano potwierdzenie przydatności narzędzia w prowadzeniu pracy dydaktycznej z osobami o różnym stopniu i rodzaju niepełnosprawności.</w:t>
      </w:r>
    </w:p>
    <w:p w:rsidR="00A0675B" w:rsidRDefault="00A0675B">
      <w:pPr>
        <w:spacing w:line="360" w:lineRule="auto"/>
        <w:jc w:val="both"/>
        <w:rPr>
          <w:i/>
          <w:iCs/>
        </w:rPr>
      </w:pPr>
      <w:r>
        <w:rPr>
          <w:i/>
          <w:iCs/>
        </w:rPr>
        <w:t>Uwagi dotyczące layoutu</w:t>
      </w:r>
    </w:p>
    <w:p w:rsidR="00A0675B" w:rsidRDefault="00A0675B">
      <w:pPr>
        <w:spacing w:line="360" w:lineRule="auto"/>
        <w:jc w:val="both"/>
        <w:rPr>
          <w:rFonts w:ascii="Times New Roman" w:hAnsi="Times New Roman" w:cs="Times New Roman"/>
        </w:rPr>
      </w:pPr>
      <w:r>
        <w:t xml:space="preserve">Uczestnicy zwracali uwagę, że zbyt duża ilość tekstu widoczna w prototypie aplikacji jest rozpraszająca dla uczestników i sprawia problem ze skupieniem ich uwagi. W tym celu zastosowań zmianę polegającą na ukryciu tekstów, aż do celowego ich wywołania. zwrócono również uwagę na formę karty z przepisami  i zasugerowano zmianę tak, by prezentowana ona była jako plik PDF z możliwością drukowania, co pozwala lepiej dostosować pracę z narzędziem do aktualnych potrzeb, możliwości i dyspozycji uczestnika zajęć. Zasugerowano również, że aplikacja WWW wyglądem powinna być zbliżona do stron WWW, co ułatwi poruszanie się po niej ze względu na przyzwyczajenia z korzystania z innych stron i narzędzi internetowych. Ponadto zwrócono uwagę na konieczność prawidłowego wyświetlania strony w różnych przeglądarkach: google, egde, opera, firefox, safari i inne. W tym celu wybrany i wprowadzony został uniwersalny i powszechny CMS, który pozwala zorganizować treści i układ front-endu i back-endu zwiększając intuicyjność jego obsługi i prawidłowość wyświetlania w różnych przeglądarkach. </w:t>
      </w:r>
    </w:p>
    <w:p w:rsidR="00A0675B" w:rsidRDefault="00A0675B">
      <w:pPr>
        <w:spacing w:line="360" w:lineRule="auto"/>
        <w:jc w:val="both"/>
        <w:rPr>
          <w:i/>
          <w:iCs/>
        </w:rPr>
      </w:pPr>
      <w:r>
        <w:rPr>
          <w:i/>
          <w:iCs/>
        </w:rPr>
        <w:t>Uwagi dotyczące funkcjonalności</w:t>
      </w:r>
    </w:p>
    <w:p w:rsidR="00A0675B" w:rsidRDefault="00A0675B">
      <w:pPr>
        <w:spacing w:line="360" w:lineRule="auto"/>
        <w:jc w:val="both"/>
        <w:rPr>
          <w:rFonts w:ascii="Times New Roman" w:hAnsi="Times New Roman" w:cs="Times New Roman"/>
        </w:rPr>
      </w:pPr>
      <w:r>
        <w:t xml:space="preserve">Zwrócono uwagę, że możliwości poszczególnych adresatów aplikacji WWW są ograniczone i wykorzystywane narzędzia nie mogą być skomplikowane, gdyż wtedy przestają być użyteczne. W celu dostosowania narzędzia do możliwości przyszłych użytkowników uproszczono komunikację poprzez zawężenie liczby kategorii, rozbicie komunikatów wielopoziomowych na komunikaty proste, ograniczenie liczby symboli PSC poprzez uproszczenie łańcuchów czynności do form zrozumiałych przez młodzież obu ZSS. e możliwości </w:t>
      </w:r>
    </w:p>
    <w:p w:rsidR="00A0675B" w:rsidRDefault="00A0675B">
      <w:pPr>
        <w:spacing w:line="360" w:lineRule="auto"/>
        <w:jc w:val="both"/>
        <w:rPr>
          <w:i/>
          <w:iCs/>
        </w:rPr>
      </w:pPr>
      <w:r>
        <w:rPr>
          <w:i/>
          <w:iCs/>
        </w:rPr>
        <w:t>Uwagi dotyczące kontentu merytorycznego</w:t>
      </w:r>
    </w:p>
    <w:p w:rsidR="00A0675B" w:rsidRDefault="00A0675B">
      <w:pPr>
        <w:spacing w:line="360" w:lineRule="auto"/>
        <w:jc w:val="both"/>
        <w:rPr>
          <w:rFonts w:ascii="Times New Roman" w:hAnsi="Times New Roman" w:cs="Times New Roman"/>
        </w:rPr>
      </w:pPr>
      <w:r>
        <w:t>Po realizacji testów podkreślono, że przepisy opracowane są w oparciu o niedrogie produkty codzienne, dzięki czemu są uniwersalne i dają możliwość korzystania z nich nie tylko w szkole podczas zajęć, ale również w domu, jako jedna z alternatywnych możliwości spędzania czasu.</w:t>
      </w:r>
    </w:p>
    <w:p w:rsidR="00A0675B" w:rsidRDefault="00A0675B">
      <w:pPr>
        <w:spacing w:line="360" w:lineRule="auto"/>
        <w:jc w:val="both"/>
      </w:pPr>
      <w:r>
        <w:t>Podkreślono również, że przepisy nie mają skomplikowanej procedury przygotowania, co sprawia, że są osiągalne dla uczniów o ograniczonych możliwościach odnoście poziomu komplikacji zadań.</w:t>
      </w:r>
    </w:p>
    <w:p w:rsidR="00A0675B" w:rsidRDefault="00A0675B">
      <w:pPr>
        <w:spacing w:line="360" w:lineRule="auto"/>
        <w:jc w:val="both"/>
        <w:rPr>
          <w:rFonts w:ascii="Times New Roman" w:hAnsi="Times New Roman" w:cs="Times New Roman"/>
        </w:rPr>
      </w:pPr>
      <w:r>
        <w:t>Zaznaczono również, że porady dietetyka powinny być skorelowane z potrzebami osób zależnych oraz ich rodziców lub opiekunów. Dobrano więc odpowiednią tematykę związaną z zastępowaniem produktów, zasadami żywienia w chorobie, w zagrożeniu odwodnieniem itp. Proponowany katalog porad spotkał się z dobrym przyjęciem.</w:t>
      </w:r>
    </w:p>
    <w:p w:rsidR="00A0675B" w:rsidRDefault="00A0675B">
      <w:pPr>
        <w:spacing w:line="360" w:lineRule="auto"/>
        <w:jc w:val="both"/>
        <w:rPr>
          <w:rFonts w:ascii="Times New Roman" w:hAnsi="Times New Roman" w:cs="Times New Roman"/>
        </w:rPr>
      </w:pPr>
    </w:p>
    <w:p w:rsidR="00A0675B" w:rsidRDefault="00A0675B">
      <w:pPr>
        <w:spacing w:line="360" w:lineRule="auto"/>
        <w:jc w:val="both"/>
        <w:rPr>
          <w:rFonts w:ascii="Times New Roman" w:hAnsi="Times New Roman" w:cs="Times New Roman"/>
          <w:b/>
          <w:bCs/>
        </w:rPr>
      </w:pPr>
      <w:r>
        <w:rPr>
          <w:b/>
          <w:bCs/>
        </w:rPr>
        <w:t>Wnioski</w:t>
      </w:r>
    </w:p>
    <w:p w:rsidR="00A0675B" w:rsidRDefault="00A0675B">
      <w:pPr>
        <w:spacing w:line="360" w:lineRule="auto"/>
        <w:jc w:val="both"/>
        <w:rPr>
          <w:rFonts w:ascii="Times New Roman" w:hAnsi="Times New Roman" w:cs="Times New Roman"/>
        </w:rPr>
      </w:pPr>
      <w:r>
        <w:t>Zebrane wnioski z testów i ankiet wskazują, że narzędzie to jest pożądane przez nauczycieli, który widzą w nim środek do realizacji różnych celów dydaktycznych, jest atrakcyjne dla uczestników, przez co pływa na jakość prowadzonych z nimi zajęć. Jest również użyteczne we współpracy z rodzicami, dzięki czemu osiągnięcia terapeutyczne i dydaktyczne z zajęć szkolnych mogą być umacniane w środowisku domowym. Po wprowadzeniu postulowanych zmian gotowe jest do upowszechniania.</w:t>
      </w:r>
    </w:p>
    <w:p w:rsidR="00A0675B" w:rsidRDefault="00A0675B">
      <w:pPr>
        <w:spacing w:line="360" w:lineRule="auto"/>
        <w:jc w:val="both"/>
        <w:rPr>
          <w:rFonts w:ascii="Times New Roman" w:hAnsi="Times New Roman" w:cs="Times New Roman"/>
        </w:rPr>
      </w:pPr>
    </w:p>
    <w:sectPr w:rsidR="00A0675B" w:rsidSect="00A067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B76"/>
    <w:multiLevelType w:val="hybridMultilevel"/>
    <w:tmpl w:val="D5E6796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675B"/>
    <w:rsid w:val="00A0675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536"/>
        <w:tab w:val="right" w:pos="9072"/>
      </w:tabs>
      <w:spacing w:after="0" w:line="240" w:lineRule="auto"/>
    </w:pPr>
    <w:rPr>
      <w:rFonts w:ascii="Arial" w:hAnsi="Arial" w:cs="Arial"/>
      <w:lang w:eastAsia="pl-PL"/>
    </w:rPr>
  </w:style>
  <w:style w:type="character" w:customStyle="1" w:styleId="HeaderChar">
    <w:name w:val="Header Char"/>
    <w:basedOn w:val="DefaultParagraphFont"/>
    <w:link w:val="Header"/>
    <w:uiPriority w:val="99"/>
    <w:semiHidden/>
    <w:rsid w:val="00A0675B"/>
    <w:rPr>
      <w:rFonts w:ascii="Calibri" w:hAnsi="Calibri" w:cs="Calibri"/>
      <w:lang w:eastAsia="en-US"/>
    </w:rPr>
  </w:style>
  <w:style w:type="paragraph" w:styleId="Title">
    <w:name w:val="Title"/>
    <w:basedOn w:val="Normal"/>
    <w:next w:val="Normal"/>
    <w:link w:val="TitleChar"/>
    <w:uiPriority w:val="99"/>
    <w:qFormat/>
    <w:pPr>
      <w:keepNext/>
      <w:keepLines/>
      <w:spacing w:after="60"/>
    </w:pPr>
    <w:rPr>
      <w:rFonts w:ascii="Arial" w:hAnsi="Arial" w:cs="Arial"/>
      <w:sz w:val="52"/>
      <w:szCs w:val="52"/>
      <w:lang w:eastAsia="pl-PL"/>
    </w:rPr>
  </w:style>
  <w:style w:type="character" w:customStyle="1" w:styleId="TitleChar">
    <w:name w:val="Title Char"/>
    <w:basedOn w:val="DefaultParagraphFont"/>
    <w:link w:val="Title"/>
    <w:uiPriority w:val="10"/>
    <w:rsid w:val="00A0675B"/>
    <w:rPr>
      <w:rFonts w:asciiTheme="majorHAnsi" w:eastAsiaTheme="majorEastAsia" w:hAnsiTheme="majorHAnsi" w:cstheme="majorBidi"/>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1322</Words>
  <Characters>7539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Bądź zdrów</dc:title>
  <dc:subject/>
  <dc:creator>Michał Rzepka</dc:creator>
  <cp:keywords/>
  <dc:description/>
  <cp:lastModifiedBy>stegol</cp:lastModifiedBy>
  <cp:revision>2</cp:revision>
  <dcterms:created xsi:type="dcterms:W3CDTF">2019-07-15T06:20:00Z</dcterms:created>
  <dcterms:modified xsi:type="dcterms:W3CDTF">2019-07-15T06:20:00Z</dcterms:modified>
</cp:coreProperties>
</file>