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D7F" w:rsidRPr="00011D7F" w:rsidRDefault="00011D7F" w:rsidP="00011D7F">
      <w:pPr>
        <w:shd w:val="clear" w:color="auto" w:fill="FFFFFF"/>
        <w:spacing w:after="0" w:line="360" w:lineRule="auto"/>
        <w:jc w:val="center"/>
        <w:rPr>
          <w:rFonts w:ascii="Times New Roman" w:eastAsia="Times New Roman" w:hAnsi="Times New Roman" w:cs="Times New Roman"/>
          <w:b/>
          <w:color w:val="222222"/>
          <w:sz w:val="24"/>
          <w:szCs w:val="24"/>
          <w:lang w:eastAsia="pl-PL"/>
        </w:rPr>
      </w:pPr>
      <w:r w:rsidRPr="00011D7F">
        <w:rPr>
          <w:rFonts w:ascii="Times New Roman" w:eastAsia="Times New Roman" w:hAnsi="Times New Roman" w:cs="Times New Roman"/>
          <w:b/>
          <w:color w:val="222222"/>
          <w:sz w:val="24"/>
          <w:szCs w:val="24"/>
          <w:lang w:eastAsia="pl-PL"/>
        </w:rPr>
        <w:t>KONCEPCJA MERYTORYCZNA DOTYCZĄCA USŁUGI SZKOLENIA Z ZAKRESU WYKORZYSTANIA TECHNOLOGI GSR W MIEJSCU PRACY DLA DOROSŁYCH OSÓB ZE PEKTRUM AUTYZMU</w:t>
      </w:r>
    </w:p>
    <w:p w:rsidR="00011D7F" w:rsidRDefault="00011D7F" w:rsidP="00011D7F">
      <w:pPr>
        <w:shd w:val="clear" w:color="auto" w:fill="FFFFFF"/>
        <w:spacing w:after="0" w:line="360" w:lineRule="auto"/>
        <w:jc w:val="center"/>
        <w:rPr>
          <w:rFonts w:ascii="Times New Roman" w:eastAsia="Times New Roman" w:hAnsi="Times New Roman" w:cs="Times New Roman"/>
          <w:color w:val="222222"/>
          <w:sz w:val="24"/>
          <w:szCs w:val="24"/>
          <w:lang w:eastAsia="pl-PL"/>
        </w:rPr>
      </w:pPr>
    </w:p>
    <w:p w:rsidR="00011D7F" w:rsidRDefault="00011D7F" w:rsidP="00011D7F">
      <w:p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Materiały potrzebne do szkolenia:</w:t>
      </w:r>
    </w:p>
    <w:p w:rsidR="00011D7F" w:rsidRDefault="00011D7F" w:rsidP="00011D7F">
      <w:pPr>
        <w:pStyle w:val="Akapitzlist"/>
        <w:numPr>
          <w:ilvl w:val="0"/>
          <w:numId w:val="9"/>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Podstawy merytoryczne wykorzystania technologii GSR do obserwacji pracowników Ośrodka</w:t>
      </w:r>
    </w:p>
    <w:p w:rsidR="00011D7F" w:rsidRDefault="00011D7F" w:rsidP="00011D7F">
      <w:pPr>
        <w:pStyle w:val="Akapitzlist"/>
        <w:numPr>
          <w:ilvl w:val="0"/>
          <w:numId w:val="9"/>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Urządzenie GSR</w:t>
      </w:r>
    </w:p>
    <w:p w:rsidR="00011D7F" w:rsidRDefault="00011D7F" w:rsidP="00011D7F">
      <w:pPr>
        <w:pStyle w:val="Akapitzlist"/>
        <w:numPr>
          <w:ilvl w:val="0"/>
          <w:numId w:val="9"/>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Smartfon z zainstalowaną na nim aplikacją dedykowaną urządzeniu</w:t>
      </w:r>
    </w:p>
    <w:p w:rsidR="00011D7F" w:rsidRDefault="00011D7F" w:rsidP="00011D7F">
      <w:pPr>
        <w:pStyle w:val="Akapitzlist"/>
        <w:numPr>
          <w:ilvl w:val="0"/>
          <w:numId w:val="9"/>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Ankieta obserwacyjna </w:t>
      </w:r>
    </w:p>
    <w:p w:rsidR="00011D7F" w:rsidRDefault="00011D7F" w:rsidP="00011D7F">
      <w:p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Metody szkoleniowe:</w:t>
      </w:r>
    </w:p>
    <w:p w:rsidR="00011D7F" w:rsidRDefault="00011D7F" w:rsidP="00011D7F">
      <w:pPr>
        <w:pStyle w:val="Akapitzlist"/>
        <w:numPr>
          <w:ilvl w:val="0"/>
          <w:numId w:val="10"/>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Wykład </w:t>
      </w:r>
    </w:p>
    <w:p w:rsidR="00011D7F" w:rsidRDefault="00011D7F" w:rsidP="00011D7F">
      <w:pPr>
        <w:pStyle w:val="Akapitzlist"/>
        <w:numPr>
          <w:ilvl w:val="0"/>
          <w:numId w:val="10"/>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Warsztaty z elementami prób eksperymentalnych</w:t>
      </w:r>
    </w:p>
    <w:p w:rsidR="00011D7F" w:rsidRDefault="00011D7F" w:rsidP="00011D7F">
      <w:pPr>
        <w:shd w:val="clear" w:color="auto" w:fill="FFFFFF"/>
        <w:spacing w:after="0" w:line="360" w:lineRule="auto"/>
        <w:rPr>
          <w:rFonts w:ascii="Times New Roman" w:eastAsia="Times New Roman" w:hAnsi="Times New Roman" w:cs="Times New Roman"/>
          <w:color w:val="222222"/>
          <w:sz w:val="24"/>
          <w:szCs w:val="24"/>
          <w:lang w:eastAsia="pl-PL"/>
        </w:rPr>
      </w:pPr>
    </w:p>
    <w:p w:rsidR="00011D7F" w:rsidRDefault="00B02CEB" w:rsidP="00011D7F">
      <w:p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Scenariusz, </w:t>
      </w:r>
      <w:r w:rsidR="00011D7F">
        <w:rPr>
          <w:rFonts w:ascii="Times New Roman" w:eastAsia="Times New Roman" w:hAnsi="Times New Roman" w:cs="Times New Roman"/>
          <w:color w:val="222222"/>
          <w:sz w:val="24"/>
          <w:szCs w:val="24"/>
          <w:lang w:eastAsia="pl-PL"/>
        </w:rPr>
        <w:t>zakres tematyki szkoleń:</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Teoria reakcji </w:t>
      </w:r>
      <w:proofErr w:type="spellStart"/>
      <w:r>
        <w:rPr>
          <w:rFonts w:ascii="Times New Roman" w:eastAsia="Times New Roman" w:hAnsi="Times New Roman" w:cs="Times New Roman"/>
          <w:color w:val="222222"/>
          <w:sz w:val="24"/>
          <w:szCs w:val="24"/>
          <w:lang w:eastAsia="pl-PL"/>
        </w:rPr>
        <w:t>skórno</w:t>
      </w:r>
      <w:proofErr w:type="spellEnd"/>
      <w:r>
        <w:rPr>
          <w:rFonts w:ascii="Times New Roman" w:eastAsia="Times New Roman" w:hAnsi="Times New Roman" w:cs="Times New Roman"/>
          <w:color w:val="222222"/>
          <w:sz w:val="24"/>
          <w:szCs w:val="24"/>
          <w:lang w:eastAsia="pl-PL"/>
        </w:rPr>
        <w:t xml:space="preserve"> – galwanicznej</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Specyfika urządzenia oraz połączonej z nim aplikacji </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Warunki oraz wymagania sprzętowe jakie są niezbędne do przeprowadzenia badania (uruc</w:t>
      </w:r>
      <w:bookmarkStart w:id="0" w:name="_GoBack"/>
      <w:bookmarkEnd w:id="0"/>
      <w:r>
        <w:rPr>
          <w:rFonts w:ascii="Times New Roman" w:eastAsia="Times New Roman" w:hAnsi="Times New Roman" w:cs="Times New Roman"/>
          <w:color w:val="222222"/>
          <w:sz w:val="24"/>
          <w:szCs w:val="24"/>
          <w:lang w:eastAsia="pl-PL"/>
        </w:rPr>
        <w:t>hamianie urządzenia, połączenie urządzenia oraz aplikacji, połączenie aplikacji z usługą mailową, sprawdzanie poprawności rejestrowanych informacji, rejestracja danych, resetowanie urządzenia, przesyłanie oraz katalogowanie zebranych danych)</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Zakres merytoryczny zbieranych w czasie obserwacji danych (konstrukcja ankiety obserwacyjnej, sposób zapisu informacji)</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Tworzenie wykresów z danych rejestrowanych przy pomocy urządzenia oraz aplikacji</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Obróbka techniczna danych</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Merytoryczna analiza wykresów w powiązaniu z danymi zebranymi przy pomocy ankiety</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Sposoby wykorzystania wniosków wynikłych z analizy badań</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lastRenderedPageBreak/>
        <w:t xml:space="preserve">Podstawy dotyczące stosowanej analizy zachowania </w:t>
      </w:r>
    </w:p>
    <w:p w:rsidR="00011D7F"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Zakres merytoryczny konstruowanych systemów organizacji pracy dla pracowników ośrodka</w:t>
      </w:r>
    </w:p>
    <w:p w:rsidR="00011D7F" w:rsidRPr="00BB18F8" w:rsidRDefault="00011D7F" w:rsidP="00011D7F">
      <w:pPr>
        <w:pStyle w:val="Akapitzlist"/>
        <w:numPr>
          <w:ilvl w:val="0"/>
          <w:numId w:val="11"/>
        </w:numPr>
        <w:shd w:val="clear" w:color="auto" w:fill="FFFFFF"/>
        <w:spacing w:after="0" w:line="360" w:lineRule="auto"/>
        <w:rPr>
          <w:rFonts w:ascii="Times New Roman" w:eastAsia="Times New Roman" w:hAnsi="Times New Roman" w:cs="Times New Roman"/>
          <w:color w:val="222222"/>
          <w:sz w:val="24"/>
          <w:szCs w:val="24"/>
          <w:lang w:eastAsia="pl-PL"/>
        </w:rPr>
      </w:pPr>
      <w:r>
        <w:rPr>
          <w:rFonts w:ascii="Times New Roman" w:eastAsia="Times New Roman" w:hAnsi="Times New Roman" w:cs="Times New Roman"/>
          <w:color w:val="222222"/>
          <w:sz w:val="24"/>
          <w:szCs w:val="24"/>
          <w:lang w:eastAsia="pl-PL"/>
        </w:rPr>
        <w:t xml:space="preserve">Zakres merytoryczny tworzonych strategii proaktywnych i reaktywnych zindywidualizowanych na potrzeby i trudności osób ze spektrum autyzmu </w:t>
      </w:r>
    </w:p>
    <w:p w:rsidR="00011D7F" w:rsidRDefault="00011D7F" w:rsidP="00011D7F">
      <w:pPr>
        <w:spacing w:line="360" w:lineRule="auto"/>
        <w:rPr>
          <w:rFonts w:ascii="Times New Roman" w:eastAsia="Times New Roman" w:hAnsi="Times New Roman" w:cs="Times New Roman"/>
          <w:color w:val="222222"/>
          <w:sz w:val="24"/>
          <w:szCs w:val="24"/>
          <w:lang w:eastAsia="pl-PL"/>
        </w:rPr>
      </w:pPr>
    </w:p>
    <w:p w:rsidR="00011D7F" w:rsidRPr="007309A7" w:rsidRDefault="00011D7F" w:rsidP="00011D7F">
      <w:pPr>
        <w:spacing w:line="360" w:lineRule="auto"/>
        <w:rPr>
          <w:rFonts w:ascii="Times New Roman" w:hAnsi="Times New Roman" w:cs="Times New Roman"/>
          <w:sz w:val="24"/>
          <w:szCs w:val="24"/>
        </w:rPr>
      </w:pPr>
      <w:r>
        <w:rPr>
          <w:rFonts w:ascii="Times New Roman" w:hAnsi="Times New Roman" w:cs="Times New Roman"/>
          <w:sz w:val="24"/>
          <w:szCs w:val="24"/>
        </w:rPr>
        <w:t xml:space="preserve">Każda z osób zaangażowanych w prowadzenie badań powinna otrzymać odpowiednie wsparcie w zakresie wyżej wymienionych zakresów tematycznych. Istotne jest to dla rzetelnego przeprowadzenia obserwacji. Bardzo ważną kwestią jest także spójność przeprowadzonych obserwacji, jeśli badania prowadzone będą przez różne osoby z kadry merytorycznej. Ułatwi to późniejszą analizę oraz ewentualne wykorzystanie analizowanych danych do tworzenia warunków pracy optymalnych dla poszczególnych pracowników Zakładu Aktywności Zawodowej, pracy nad ich indywidualnym systemem wzmocnień oraz systemem organizacji pracy, a także pracy nad adekwatnymi strategiami radzenia sobie z </w:t>
      </w:r>
      <w:proofErr w:type="spellStart"/>
      <w:r>
        <w:rPr>
          <w:rFonts w:ascii="Times New Roman" w:hAnsi="Times New Roman" w:cs="Times New Roman"/>
          <w:sz w:val="24"/>
          <w:szCs w:val="24"/>
        </w:rPr>
        <w:t>zachowaniami</w:t>
      </w:r>
      <w:proofErr w:type="spellEnd"/>
      <w:r>
        <w:rPr>
          <w:rFonts w:ascii="Times New Roman" w:hAnsi="Times New Roman" w:cs="Times New Roman"/>
          <w:sz w:val="24"/>
          <w:szCs w:val="24"/>
        </w:rPr>
        <w:t xml:space="preserve"> niepożądanymi występującymi u poszczególnych beneficjentów. </w:t>
      </w:r>
    </w:p>
    <w:p w:rsidR="008B0A3C" w:rsidRPr="001B630C" w:rsidRDefault="008B0A3C" w:rsidP="001B630C"/>
    <w:sectPr w:rsidR="008B0A3C" w:rsidRPr="001B630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677" w:rsidRDefault="00604677">
      <w:pPr>
        <w:spacing w:after="0" w:line="240" w:lineRule="auto"/>
      </w:pPr>
      <w:r>
        <w:separator/>
      </w:r>
    </w:p>
  </w:endnote>
  <w:endnote w:type="continuationSeparator" w:id="0">
    <w:p w:rsidR="00604677" w:rsidRDefault="00604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5F" w:rsidRPr="0096375F" w:rsidRDefault="0096375F">
    <w:pPr>
      <w:pStyle w:val="Stopka"/>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35" w:rsidRPr="0096375F" w:rsidRDefault="005A4835" w:rsidP="005A4835">
    <w:pPr>
      <w:spacing w:line="240" w:lineRule="auto"/>
      <w:jc w:val="center"/>
      <w:rPr>
        <w:color w:val="000000" w:themeColor="text1"/>
      </w:rPr>
    </w:pPr>
    <w:r w:rsidRPr="0096375F">
      <w:rPr>
        <w:rFonts w:ascii="Calibri" w:hAnsi="Calibri"/>
        <w:color w:val="000000" w:themeColor="text1"/>
        <w:sz w:val="19"/>
        <w:szCs w:val="19"/>
        <w:shd w:val="clear" w:color="auto" w:fill="FFFFFF"/>
      </w:rPr>
      <w:t> „Projekt jest współfinansowany ze środków Unii Europejskiej w ramach Europejskiego Funduszu Społecznego, realizowany w ramach projektu WIOSENNY INKUBATOR INNOWACJI, realizowanego w ramach Osi IV Programu Operacyjnego Wiedza Edukacja Rozwój – „Innowacje społeczne i współpraca ponadnarodowa”, Działanie 4.1 „Innowacje społeczne”, przez Stowarzyszenie WIOSNA w partnerstwie z Uniwersytetem Jagiellońskim w Krakowie.</w:t>
    </w:r>
  </w:p>
  <w:p w:rsidR="00DC0236" w:rsidRDefault="00DC0236">
    <w:pPr>
      <w:spacing w:line="240" w:lineRule="auto"/>
      <w:jc w:val="center"/>
      <w:rPr>
        <w:rFonts w:ascii="Calibri" w:hAnsi="Calibri"/>
        <w:noProof/>
        <w:color w:val="1F497D"/>
        <w:sz w:val="16"/>
        <w:szCs w:val="16"/>
        <w:shd w:val="clear" w:color="auto" w:fill="FFFFFF"/>
        <w:lang w:eastAsia="pl-PL"/>
      </w:rPr>
    </w:pPr>
  </w:p>
  <w:p w:rsidR="00926973" w:rsidRPr="0041296A" w:rsidRDefault="00926973">
    <w:pPr>
      <w:spacing w:line="240" w:lineRule="auto"/>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5F" w:rsidRDefault="00963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677" w:rsidRDefault="00604677">
      <w:pPr>
        <w:spacing w:after="0" w:line="240" w:lineRule="auto"/>
      </w:pPr>
      <w:r>
        <w:separator/>
      </w:r>
    </w:p>
  </w:footnote>
  <w:footnote w:type="continuationSeparator" w:id="0">
    <w:p w:rsidR="00604677" w:rsidRDefault="00604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5F" w:rsidRDefault="0096375F">
    <w:pPr>
      <w:pStyle w:val="Nagwe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73" w:rsidRDefault="00B72121">
    <w:pPr>
      <w:pStyle w:val="Gwka"/>
    </w:pPr>
    <w:r w:rsidRPr="00B72121">
      <w:rPr>
        <w:noProof/>
        <w:lang w:eastAsia="pl-PL"/>
      </w:rPr>
      <w:drawing>
        <wp:inline distT="0" distB="0" distL="0" distR="0">
          <wp:extent cx="5759450" cy="885565"/>
          <wp:effectExtent l="0" t="0" r="0" b="0"/>
          <wp:docPr id="1" name="Obraz 1" descr="C:\Users\m.wlodarczyk\Desktop\Projekt WIOSNA\Promocja\ciąg PO WER i UE biał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lodarczyk\Desktop\Projekt WIOSNA\Promocja\ciąg PO WER i UE biało-czar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85565"/>
                  </a:xfrm>
                  <a:prstGeom prst="rect">
                    <a:avLst/>
                  </a:prstGeom>
                  <a:noFill/>
                  <a:ln>
                    <a:noFill/>
                  </a:ln>
                </pic:spPr>
              </pic:pic>
            </a:graphicData>
          </a:graphic>
        </wp:inline>
      </w:drawing>
    </w:r>
  </w:p>
  <w:p w:rsidR="00926973" w:rsidRPr="0096375F" w:rsidRDefault="00926973">
    <w:pPr>
      <w:pStyle w:val="Gwka"/>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75F" w:rsidRDefault="0096375F">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73A"/>
    <w:multiLevelType w:val="hybridMultilevel"/>
    <w:tmpl w:val="BC86D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1024CB"/>
    <w:multiLevelType w:val="hybridMultilevel"/>
    <w:tmpl w:val="6B10B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7A4DCC"/>
    <w:multiLevelType w:val="hybridMultilevel"/>
    <w:tmpl w:val="C3C60B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E6096B"/>
    <w:multiLevelType w:val="hybridMultilevel"/>
    <w:tmpl w:val="F3443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3F2C4F"/>
    <w:multiLevelType w:val="hybridMultilevel"/>
    <w:tmpl w:val="1C5C34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F45565A"/>
    <w:multiLevelType w:val="hybridMultilevel"/>
    <w:tmpl w:val="F4389B2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607F31AB"/>
    <w:multiLevelType w:val="hybridMultilevel"/>
    <w:tmpl w:val="4DA06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ACF4AD1"/>
    <w:multiLevelType w:val="hybridMultilevel"/>
    <w:tmpl w:val="D8D4C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DCA3B93"/>
    <w:multiLevelType w:val="hybridMultilevel"/>
    <w:tmpl w:val="8FFC41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68A7028"/>
    <w:multiLevelType w:val="hybridMultilevel"/>
    <w:tmpl w:val="EBE449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779D079D"/>
    <w:multiLevelType w:val="hybridMultilevel"/>
    <w:tmpl w:val="7D861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4"/>
  </w:num>
  <w:num w:numId="5">
    <w:abstractNumId w:val="1"/>
  </w:num>
  <w:num w:numId="6">
    <w:abstractNumId w:val="10"/>
  </w:num>
  <w:num w:numId="7">
    <w:abstractNumId w:val="3"/>
  </w:num>
  <w:num w:numId="8">
    <w:abstractNumId w:val="6"/>
  </w:num>
  <w:num w:numId="9">
    <w:abstractNumId w:val="2"/>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73"/>
    <w:rsid w:val="00011D7F"/>
    <w:rsid w:val="0011533D"/>
    <w:rsid w:val="001B630C"/>
    <w:rsid w:val="00374E70"/>
    <w:rsid w:val="003E53AF"/>
    <w:rsid w:val="0041296A"/>
    <w:rsid w:val="00522BC7"/>
    <w:rsid w:val="005A4835"/>
    <w:rsid w:val="005B26C1"/>
    <w:rsid w:val="00604677"/>
    <w:rsid w:val="0086620D"/>
    <w:rsid w:val="008B0A3C"/>
    <w:rsid w:val="008D266C"/>
    <w:rsid w:val="00926973"/>
    <w:rsid w:val="0096375F"/>
    <w:rsid w:val="00B02CEB"/>
    <w:rsid w:val="00B72121"/>
    <w:rsid w:val="00DC0236"/>
    <w:rsid w:val="00E7705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62C23C"/>
  <w15:docId w15:val="{A73BCE9F-9A20-4EB1-9755-1104BDA7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cs="Calibri"/>
      <w:color w:val="00000A"/>
      <w:sz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erChar">
    <w:name w:val="Header Char"/>
    <w:basedOn w:val="Domylnaczcionkaakapitu"/>
    <w:link w:val="Gwka"/>
    <w:uiPriority w:val="99"/>
    <w:qFormat/>
    <w:rPr>
      <w:rFonts w:ascii="Times New Roman" w:hAnsi="Times New Roman" w:cs="Times New Roman"/>
    </w:rPr>
  </w:style>
  <w:style w:type="character" w:customStyle="1" w:styleId="StopkaZnak">
    <w:name w:val="Stopka Znak"/>
    <w:basedOn w:val="Domylnaczcionkaakapitu"/>
    <w:link w:val="Stopka"/>
    <w:uiPriority w:val="99"/>
    <w:qFormat/>
    <w:rPr>
      <w:rFonts w:ascii="Times New Roman" w:hAnsi="Times New Roman" w:cs="Times New Roman"/>
    </w:rPr>
  </w:style>
  <w:style w:type="character" w:customStyle="1" w:styleId="TekstdymkaZnak">
    <w:name w:val="Tekst dymka Znak"/>
    <w:basedOn w:val="Domylnaczcionkaakapitu"/>
    <w:link w:val="Tekstdymka"/>
    <w:uiPriority w:val="99"/>
    <w:qFormat/>
    <w:rPr>
      <w:rFonts w:ascii="Tahoma" w:hAnsi="Tahoma" w:cs="Tahoma"/>
      <w:sz w:val="16"/>
      <w:szCs w:val="16"/>
    </w:rPr>
  </w:style>
  <w:style w:type="paragraph" w:styleId="Nagwek">
    <w:name w:val="header"/>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Gwka">
    <w:name w:val="Główka"/>
    <w:basedOn w:val="Normalny"/>
    <w:link w:val="HeaderChar"/>
    <w:uiPriority w:val="99"/>
    <w:pPr>
      <w:tabs>
        <w:tab w:val="center" w:pos="4536"/>
        <w:tab w:val="right" w:pos="9072"/>
      </w:tabs>
      <w:spacing w:after="0" w:line="240" w:lineRule="auto"/>
    </w:pPr>
  </w:style>
  <w:style w:type="paragraph" w:styleId="Stopka">
    <w:name w:val="footer"/>
    <w:basedOn w:val="Normalny"/>
    <w:link w:val="StopkaZnak"/>
    <w:uiPriority w:val="99"/>
    <w:pPr>
      <w:tabs>
        <w:tab w:val="center" w:pos="4536"/>
        <w:tab w:val="right" w:pos="9072"/>
      </w:tabs>
      <w:spacing w:after="0" w:line="240" w:lineRule="auto"/>
    </w:pPr>
  </w:style>
  <w:style w:type="paragraph" w:styleId="Tekstdymka">
    <w:name w:val="Balloon Text"/>
    <w:basedOn w:val="Normalny"/>
    <w:link w:val="TekstdymkaZnak"/>
    <w:uiPriority w:val="99"/>
    <w:qFormat/>
    <w:pPr>
      <w:spacing w:after="0" w:line="240" w:lineRule="auto"/>
    </w:pPr>
    <w:rPr>
      <w:rFonts w:ascii="Tahoma" w:hAnsi="Tahoma" w:cs="Tahoma"/>
      <w:sz w:val="16"/>
      <w:szCs w:val="16"/>
    </w:rPr>
  </w:style>
  <w:style w:type="paragraph" w:styleId="Akapitzlist">
    <w:name w:val="List Paragraph"/>
    <w:basedOn w:val="Normalny"/>
    <w:uiPriority w:val="34"/>
    <w:qFormat/>
    <w:rsid w:val="00E77056"/>
    <w:pPr>
      <w:ind w:left="720"/>
      <w:contextualSpacing/>
    </w:pPr>
    <w:rPr>
      <w:rFonts w:eastAsia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324</Words>
  <Characters>1946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Dodograf</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Eggert</dc:creator>
  <cp:lastModifiedBy>Magda Włodarczyk</cp:lastModifiedBy>
  <cp:revision>3</cp:revision>
  <dcterms:created xsi:type="dcterms:W3CDTF">2018-12-05T14:07:00Z</dcterms:created>
  <dcterms:modified xsi:type="dcterms:W3CDTF">2018-12-06T11:50:00Z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Dodograf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